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48"/>
          <w:szCs w:val="48"/>
          <w:color w:val="FFFFFF"/>
        </w:rPr>
        <w:t>2025</w:t>
      </w:r>
    </w:p>
    <w:p>
      <w:pPr>
        <w:spacing w:after="0" w:line="24" w:lineRule="exact"/>
        <w:rPr>
          <w:sz w:val="24"/>
          <w:szCs w:val="24"/>
          <w:color w:val="auto"/>
        </w:rPr>
      </w:pPr>
    </w:p>
    <w:p>
      <w:pPr>
        <w:ind w:left="5480"/>
        <w:spacing w:after="0"/>
        <w:rPr>
          <w:sz w:val="20"/>
          <w:szCs w:val="20"/>
          <w:color w:val="auto"/>
        </w:rPr>
      </w:pPr>
      <w:r>
        <w:rPr>
          <w:rFonts w:ascii="Arial" w:cs="Arial" w:eastAsia="Arial" w:hAnsi="Arial"/>
          <w:sz w:val="47"/>
          <w:szCs w:val="47"/>
          <w:color w:val="FFFFFF"/>
        </w:rPr>
        <w:t>Annual Report</w:t>
      </w:r>
    </w:p>
    <w:p>
      <w:pPr>
        <w:sectPr>
          <w:pgSz w:w="11880" w:h="15480" w:orient="portrait"/>
          <w:cols w:equalWidth="0" w:num="1">
            <w:col w:w="9000"/>
          </w:cols>
          <w:pgMar w:left="1440" w:top="1440" w:right="1440" w:bottom="1440" w:gutter="0" w:footer="0" w:header="0"/>
        </w:sectPr>
      </w:pPr>
    </w:p>
    <w:bookmarkStart w:id="1" w:name="page2"/>
    <w:bookmarkEnd w:id="1"/>
    <w:p>
      <w:pPr>
        <w:ind w:left="940"/>
        <w:spacing w:after="0"/>
        <w:rPr>
          <w:sz w:val="20"/>
          <w:szCs w:val="20"/>
          <w:color w:val="auto"/>
        </w:rPr>
      </w:pPr>
      <w:r>
        <w:rPr>
          <w:rFonts w:ascii="Arial" w:cs="Arial" w:eastAsia="Arial" w:hAnsi="Arial"/>
          <w:sz w:val="59"/>
          <w:szCs w:val="59"/>
          <w:color w:val="auto"/>
        </w:rPr>
        <w:t xml:space="preserve">Three-year selected financial data </w:t>
      </w:r>
      <w:r>
        <w:rPr>
          <w:rFonts w:ascii="Arial" w:cs="Arial" w:eastAsia="Arial" w:hAnsi="Arial"/>
          <w:sz w:val="21"/>
          <w:szCs w:val="21"/>
          <w:color w:val="auto"/>
        </w:rPr>
        <w:t>(1)</w:t>
      </w:r>
    </w:p>
    <w:p>
      <w:pPr>
        <w:sectPr>
          <w:pgSz w:w="11880" w:h="15480" w:orient="portrait"/>
          <w:cols w:equalWidth="0" w:num="1">
            <w:col w:w="10300"/>
          </w:cols>
          <w:pgMar w:left="500" w:top="758" w:right="1080" w:bottom="0" w:gutter="0" w:footer="0" w:header="0"/>
        </w:sectPr>
      </w:pPr>
    </w:p>
    <w:p>
      <w:pPr>
        <w:spacing w:after="0" w:line="37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(Unaudited—in millions, except per share amounts)</w:t>
      </w:r>
    </w:p>
    <w:p>
      <w:pPr>
        <w:spacing w:after="0" w:line="14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Result of operations</w:t>
      </w:r>
    </w:p>
    <w:p>
      <w:pPr>
        <w:spacing w:after="0" w:line="14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Net sales</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Gross profit</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Restructuring costs, net</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Asset impairments</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Operating income (loss)</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Interest income</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Income (loss) from continuing operations</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Series A convertible preferred stock dividends</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Net income (loss) attributable to common stockholders</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Earnings (loss) per share information:</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Weighted average number of shares outstanding:</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Basic</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Diluted</w:t>
      </w:r>
    </w:p>
    <w:p>
      <w:pPr>
        <w:spacing w:after="0" w:line="23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Earnings (loss) from continuing operations per share:</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Basic</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Diluted</w:t>
      </w:r>
    </w:p>
    <w:p>
      <w:pPr>
        <w:spacing w:after="0" w:line="23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Earnings (loss) per share:</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Basic</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Diluted</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Non-GAAP adjusted results:</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Core non-GAAP adjusted EBITDA</w:t>
      </w:r>
      <w:r>
        <w:rPr>
          <w:rFonts w:ascii="Arial" w:cs="Arial" w:eastAsia="Arial" w:hAnsi="Arial"/>
          <w:sz w:val="9"/>
          <w:szCs w:val="9"/>
          <w:color w:val="auto"/>
        </w:rPr>
        <w:t>(2)(3)</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Non-GAAP adjusted EBITDA</w:t>
      </w:r>
      <w:r>
        <w:rPr>
          <w:rFonts w:ascii="Arial" w:cs="Arial" w:eastAsia="Arial" w:hAnsi="Arial"/>
          <w:sz w:val="9"/>
          <w:szCs w:val="9"/>
          <w:color w:val="auto"/>
        </w:rPr>
        <w:t>(3)</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Non-GAAP adjusted earnings per share</w:t>
      </w:r>
      <w:r>
        <w:rPr>
          <w:rFonts w:ascii="Arial" w:cs="Arial" w:eastAsia="Arial" w:hAnsi="Arial"/>
          <w:sz w:val="9"/>
          <w:szCs w:val="9"/>
          <w:color w:val="auto"/>
        </w:rPr>
        <w:t>(3)</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Other information</w:t>
      </w:r>
      <w:r>
        <w:rPr>
          <w:rFonts w:ascii="Arial" w:cs="Arial" w:eastAsia="Arial" w:hAnsi="Arial"/>
          <w:sz w:val="9"/>
          <w:szCs w:val="9"/>
          <w:color w:val="auto"/>
        </w:rPr>
        <w:t>(4)</w:t>
      </w:r>
      <w:r>
        <w:rPr>
          <w:rFonts w:ascii="Arial" w:cs="Arial" w:eastAsia="Arial" w:hAnsi="Arial"/>
          <w:sz w:val="16"/>
          <w:szCs w:val="16"/>
          <w:color w:val="auto"/>
        </w:rPr>
        <w:t>:</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Net cash generated by operating activities</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Depreciation and amortization</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Additions to property, plant and equipment</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Free cash flow</w:t>
      </w:r>
    </w:p>
    <w:p>
      <w:pPr>
        <w:spacing w:after="0" w:line="200" w:lineRule="exact"/>
        <w:rPr>
          <w:sz w:val="20"/>
          <w:szCs w:val="20"/>
          <w:color w:val="auto"/>
        </w:rPr>
      </w:pPr>
    </w:p>
    <w:p>
      <w:pPr>
        <w:spacing w:after="0" w:line="233" w:lineRule="exact"/>
        <w:rPr>
          <w:sz w:val="20"/>
          <w:szCs w:val="20"/>
          <w:color w:val="auto"/>
        </w:rPr>
      </w:pPr>
    </w:p>
    <w:p>
      <w:pPr>
        <w:ind w:left="940"/>
        <w:spacing w:after="0"/>
        <w:rPr>
          <w:sz w:val="20"/>
          <w:szCs w:val="20"/>
          <w:color w:val="auto"/>
        </w:rPr>
      </w:pPr>
      <w:r>
        <w:rPr>
          <w:rFonts w:ascii="Arial" w:cs="Arial" w:eastAsia="Arial" w:hAnsi="Arial"/>
          <w:sz w:val="22"/>
          <w:szCs w:val="22"/>
          <w:color w:val="auto"/>
        </w:rPr>
        <w:t>Balance sheet data</w:t>
      </w:r>
    </w:p>
    <w:p>
      <w:pPr>
        <w:spacing w:after="0" w:line="7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Cash and cash equivalents</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Goodwill and other intangible assets, net</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Property, plant, and equipment, net</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assets</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Working capital</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Long-term debt, including current maturities</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Series A convertible preferred stock</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Stockholders’ deficit</w:t>
      </w:r>
    </w:p>
    <w:p>
      <w:pPr>
        <w:spacing w:after="0" w:line="200" w:lineRule="exact"/>
        <w:rPr>
          <w:sz w:val="20"/>
          <w:szCs w:val="20"/>
          <w:color w:val="auto"/>
        </w:rPr>
      </w:pPr>
    </w:p>
    <w:p>
      <w:pPr>
        <w:spacing w:after="0" w:line="397" w:lineRule="exact"/>
        <w:rPr>
          <w:sz w:val="20"/>
          <w:szCs w:val="20"/>
          <w:color w:val="auto"/>
        </w:rPr>
      </w:pPr>
    </w:p>
    <w:p>
      <w:pPr>
        <w:ind w:left="1120" w:hanging="177"/>
        <w:spacing w:after="0" w:line="391" w:lineRule="auto"/>
        <w:tabs>
          <w:tab w:leader="none" w:pos="1076" w:val="left"/>
        </w:tabs>
        <w:numPr>
          <w:ilvl w:val="0"/>
          <w:numId w:val="1"/>
        </w:numPr>
        <w:rPr>
          <w:rFonts w:ascii="Arial" w:cs="Arial" w:eastAsia="Arial" w:hAnsi="Arial"/>
          <w:sz w:val="10"/>
          <w:szCs w:val="10"/>
          <w:color w:val="auto"/>
        </w:rPr>
      </w:pPr>
      <w:r>
        <w:rPr>
          <w:rFonts w:ascii="Arial" w:cs="Arial" w:eastAsia="Arial" w:hAnsi="Arial"/>
          <w:sz w:val="10"/>
          <w:szCs w:val="10"/>
          <w:color w:val="auto"/>
        </w:rPr>
        <w:t>Amounts have been recast to reflect the discontinued CCS segment, OWN segment, DAS business unit and Home business, and reflect only our continuing operations, unless otherwise noted.</w:t>
      </w:r>
    </w:p>
    <w:p>
      <w:pPr>
        <w:spacing w:after="0" w:line="35" w:lineRule="exact"/>
        <w:rPr>
          <w:rFonts w:ascii="Arial" w:cs="Arial" w:eastAsia="Arial" w:hAnsi="Arial"/>
          <w:sz w:val="10"/>
          <w:szCs w:val="10"/>
          <w:color w:val="auto"/>
        </w:rPr>
      </w:pPr>
    </w:p>
    <w:p>
      <w:pPr>
        <w:ind w:left="1120" w:right="80" w:hanging="177"/>
        <w:spacing w:after="0" w:line="280" w:lineRule="auto"/>
        <w:tabs>
          <w:tab w:leader="none" w:pos="1104" w:val="left"/>
        </w:tabs>
        <w:numPr>
          <w:ilvl w:val="0"/>
          <w:numId w:val="1"/>
        </w:numPr>
        <w:rPr>
          <w:rFonts w:ascii="Arial" w:cs="Arial" w:eastAsia="Arial" w:hAnsi="Arial"/>
          <w:sz w:val="12"/>
          <w:szCs w:val="12"/>
          <w:color w:val="auto"/>
        </w:rPr>
      </w:pPr>
      <w:r>
        <w:rPr>
          <w:rFonts w:ascii="Arial" w:cs="Arial" w:eastAsia="Arial" w:hAnsi="Arial"/>
          <w:sz w:val="12"/>
          <w:szCs w:val="12"/>
          <w:color w:val="auto"/>
        </w:rPr>
        <w:t>Core non-GAAP adjusted EBITDA reflects the results of our RUCKUS and Aurora segments, in the aggregate, and excludes general corporate costs that were previously allocated to the CCS segment, OWN segment, DAS business unit and Home segment, since these costs were not directly attributable to the discontinued operations.</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2220" w:type="dxa"/>
            <w:vAlign w:val="bottom"/>
          </w:tcPr>
          <w:p>
            <w:pPr>
              <w:jc w:val="right"/>
              <w:ind w:right="139"/>
              <w:spacing w:after="0"/>
              <w:rPr>
                <w:sz w:val="20"/>
                <w:szCs w:val="20"/>
                <w:color w:val="auto"/>
              </w:rPr>
            </w:pPr>
            <w:r>
              <w:rPr>
                <w:rFonts w:ascii="Arial" w:cs="Arial" w:eastAsia="Arial" w:hAnsi="Arial"/>
                <w:sz w:val="16"/>
                <w:szCs w:val="16"/>
                <w:color w:val="auto"/>
              </w:rPr>
              <w:t>Year ended December 31</w:t>
            </w:r>
          </w:p>
        </w:tc>
        <w:tc>
          <w:tcPr>
            <w:tcW w:w="800" w:type="dxa"/>
            <w:vAlign w:val="bottom"/>
          </w:tcPr>
          <w:p>
            <w:pPr>
              <w:spacing w:after="0"/>
              <w:rPr>
                <w:sz w:val="16"/>
                <w:szCs w:val="16"/>
                <w:color w:val="auto"/>
              </w:rPr>
            </w:pPr>
          </w:p>
        </w:tc>
      </w:tr>
      <w:tr>
        <w:trPr>
          <w:trHeight w:val="404"/>
        </w:trPr>
        <w:tc>
          <w:tcPr>
            <w:tcW w:w="840" w:type="dxa"/>
            <w:vAlign w:val="bottom"/>
          </w:tcPr>
          <w:p>
            <w:pPr>
              <w:jc w:val="right"/>
              <w:ind w:right="199"/>
              <w:spacing w:after="0"/>
              <w:rPr>
                <w:sz w:val="20"/>
                <w:szCs w:val="20"/>
                <w:color w:val="auto"/>
              </w:rPr>
            </w:pPr>
            <w:r>
              <w:rPr>
                <w:rFonts w:ascii="Arial" w:cs="Arial" w:eastAsia="Arial" w:hAnsi="Arial"/>
                <w:sz w:val="22"/>
                <w:szCs w:val="22"/>
                <w:color w:val="auto"/>
              </w:rPr>
              <w:t>2023</w:t>
            </w:r>
          </w:p>
        </w:tc>
        <w:tc>
          <w:tcPr>
            <w:tcW w:w="2220" w:type="dxa"/>
            <w:vAlign w:val="bottom"/>
          </w:tcPr>
          <w:p>
            <w:pPr>
              <w:jc w:val="right"/>
              <w:ind w:right="719"/>
              <w:spacing w:after="0"/>
              <w:rPr>
                <w:sz w:val="20"/>
                <w:szCs w:val="20"/>
                <w:color w:val="auto"/>
              </w:rPr>
            </w:pPr>
            <w:r>
              <w:rPr>
                <w:rFonts w:ascii="Arial" w:cs="Arial" w:eastAsia="Arial" w:hAnsi="Arial"/>
                <w:sz w:val="22"/>
                <w:szCs w:val="22"/>
                <w:color w:val="auto"/>
              </w:rPr>
              <w:t>2024</w:t>
            </w:r>
          </w:p>
        </w:tc>
        <w:tc>
          <w:tcPr>
            <w:tcW w:w="800" w:type="dxa"/>
            <w:vAlign w:val="bottom"/>
          </w:tcPr>
          <w:p>
            <w:pPr>
              <w:jc w:val="right"/>
              <w:spacing w:after="0"/>
              <w:rPr>
                <w:sz w:val="20"/>
                <w:szCs w:val="20"/>
                <w:color w:val="auto"/>
              </w:rPr>
            </w:pPr>
            <w:r>
              <w:rPr>
                <w:rFonts w:ascii="Arial" w:cs="Arial" w:eastAsia="Arial" w:hAnsi="Arial"/>
                <w:sz w:val="22"/>
                <w:szCs w:val="22"/>
                <w:color w:val="auto"/>
              </w:rPr>
              <w:t>2025</w:t>
            </w:r>
          </w:p>
        </w:tc>
      </w:tr>
      <w:tr>
        <w:trPr>
          <w:trHeight w:val="344"/>
        </w:trPr>
        <w:tc>
          <w:tcPr>
            <w:tcW w:w="840" w:type="dxa"/>
            <w:vAlign w:val="bottom"/>
          </w:tcPr>
          <w:p>
            <w:pPr>
              <w:jc w:val="right"/>
              <w:ind w:right="139"/>
              <w:spacing w:after="0"/>
              <w:rPr>
                <w:sz w:val="20"/>
                <w:szCs w:val="20"/>
                <w:color w:val="auto"/>
              </w:rPr>
            </w:pPr>
            <w:r>
              <w:rPr>
                <w:rFonts w:ascii="Arial" w:cs="Arial" w:eastAsia="Arial" w:hAnsi="Arial"/>
                <w:sz w:val="16"/>
                <w:szCs w:val="16"/>
                <w:color w:val="auto"/>
                <w:w w:val="96"/>
              </w:rPr>
              <w:t>$1,863.8</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$1,382.6</w:t>
            </w:r>
          </w:p>
        </w:tc>
        <w:tc>
          <w:tcPr>
            <w:tcW w:w="800" w:type="dxa"/>
            <w:vAlign w:val="bottom"/>
          </w:tcPr>
          <w:p>
            <w:pPr>
              <w:jc w:val="right"/>
              <w:spacing w:after="0"/>
              <w:rPr>
                <w:sz w:val="20"/>
                <w:szCs w:val="20"/>
                <w:color w:val="auto"/>
              </w:rPr>
            </w:pPr>
            <w:r>
              <w:rPr>
                <w:rFonts w:ascii="Arial" w:cs="Arial" w:eastAsia="Arial" w:hAnsi="Arial"/>
                <w:sz w:val="16"/>
                <w:szCs w:val="16"/>
                <w:color w:val="auto"/>
              </w:rPr>
              <w:t>$1,931.6</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900.3</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605.1</w:t>
            </w:r>
          </w:p>
        </w:tc>
        <w:tc>
          <w:tcPr>
            <w:tcW w:w="800" w:type="dxa"/>
            <w:vAlign w:val="bottom"/>
          </w:tcPr>
          <w:p>
            <w:pPr>
              <w:jc w:val="right"/>
              <w:spacing w:after="0"/>
              <w:rPr>
                <w:sz w:val="20"/>
                <w:szCs w:val="20"/>
                <w:color w:val="auto"/>
              </w:rPr>
            </w:pPr>
            <w:r>
              <w:rPr>
                <w:rFonts w:ascii="Arial" w:cs="Arial" w:eastAsia="Arial" w:hAnsi="Arial"/>
                <w:sz w:val="16"/>
                <w:szCs w:val="16"/>
                <w:color w:val="auto"/>
              </w:rPr>
              <w:t>955.9</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29.4</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36.7</w:t>
            </w:r>
          </w:p>
        </w:tc>
        <w:tc>
          <w:tcPr>
            <w:tcW w:w="80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472.3</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(659.6)</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(291.7)</w:t>
            </w:r>
          </w:p>
        </w:tc>
        <w:tc>
          <w:tcPr>
            <w:tcW w:w="80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11.1</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10.9</w:t>
            </w:r>
          </w:p>
        </w:tc>
        <w:tc>
          <w:tcPr>
            <w:tcW w:w="8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(652.8)</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(206.0)</w:t>
            </w:r>
          </w:p>
        </w:tc>
        <w:tc>
          <w:tcPr>
            <w:tcW w:w="800" w:type="dxa"/>
            <w:vAlign w:val="bottom"/>
          </w:tcPr>
          <w:p>
            <w:pPr>
              <w:jc w:val="right"/>
              <w:spacing w:after="0"/>
              <w:rPr>
                <w:sz w:val="20"/>
                <w:szCs w:val="20"/>
                <w:color w:val="auto"/>
              </w:rPr>
            </w:pPr>
            <w:r>
              <w:rPr>
                <w:rFonts w:ascii="Arial" w:cs="Arial" w:eastAsia="Arial" w:hAnsi="Arial"/>
                <w:sz w:val="16"/>
                <w:szCs w:val="16"/>
                <w:color w:val="auto"/>
              </w:rPr>
              <w:t>324.3</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(61.8)</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(65.2)</w:t>
            </w:r>
          </w:p>
        </w:tc>
        <w:tc>
          <w:tcPr>
            <w:tcW w:w="80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w w:val="93"/>
              </w:rPr>
              <w:t>(1,568.6)</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(380.7)</w:t>
            </w:r>
          </w:p>
        </w:tc>
        <w:tc>
          <w:tcPr>
            <w:tcW w:w="800" w:type="dxa"/>
            <w:vAlign w:val="bottom"/>
          </w:tcPr>
          <w:p>
            <w:pPr>
              <w:jc w:val="right"/>
              <w:spacing w:after="0"/>
              <w:rPr>
                <w:sz w:val="20"/>
                <w:szCs w:val="20"/>
                <w:color w:val="auto"/>
              </w:rPr>
            </w:pPr>
            <w:r>
              <w:rPr>
                <w:rFonts w:ascii="Arial" w:cs="Arial" w:eastAsia="Arial" w:hAnsi="Arial"/>
                <w:sz w:val="16"/>
                <w:szCs w:val="16"/>
                <w:color w:val="auto"/>
              </w:rPr>
              <w:t>2,214.8</w:t>
            </w:r>
          </w:p>
        </w:tc>
      </w:tr>
      <w:tr>
        <w:trPr>
          <w:trHeight w:val="90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210.9</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214.4</w:t>
            </w:r>
          </w:p>
        </w:tc>
        <w:tc>
          <w:tcPr>
            <w:tcW w:w="800" w:type="dxa"/>
            <w:vAlign w:val="bottom"/>
          </w:tcPr>
          <w:p>
            <w:pPr>
              <w:jc w:val="right"/>
              <w:spacing w:after="0"/>
              <w:rPr>
                <w:sz w:val="20"/>
                <w:szCs w:val="20"/>
                <w:color w:val="auto"/>
              </w:rPr>
            </w:pPr>
            <w:r>
              <w:rPr>
                <w:rFonts w:ascii="Arial" w:cs="Arial" w:eastAsia="Arial" w:hAnsi="Arial"/>
                <w:sz w:val="16"/>
                <w:szCs w:val="16"/>
                <w:color w:val="auto"/>
              </w:rPr>
              <w:t>219.5</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210.9</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214.4</w:t>
            </w:r>
          </w:p>
        </w:tc>
        <w:tc>
          <w:tcPr>
            <w:tcW w:w="80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66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$(3.39)</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$(1.27)</w:t>
            </w:r>
          </w:p>
        </w:tc>
        <w:tc>
          <w:tcPr>
            <w:tcW w:w="80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$(3.39)</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$(1.27)</w:t>
            </w:r>
          </w:p>
        </w:tc>
        <w:tc>
          <w:tcPr>
            <w:tcW w:w="8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66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$(7.44)</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$(1.78)</w:t>
            </w:r>
          </w:p>
        </w:tc>
        <w:tc>
          <w:tcPr>
            <w:tcW w:w="800" w:type="dxa"/>
            <w:vAlign w:val="bottom"/>
          </w:tcPr>
          <w:p>
            <w:pPr>
              <w:jc w:val="right"/>
              <w:spacing w:after="0"/>
              <w:rPr>
                <w:sz w:val="20"/>
                <w:szCs w:val="20"/>
                <w:color w:val="auto"/>
              </w:rPr>
            </w:pPr>
            <w:r>
              <w:rPr>
                <w:rFonts w:ascii="Arial" w:cs="Arial" w:eastAsia="Arial" w:hAnsi="Arial"/>
                <w:sz w:val="16"/>
                <w:szCs w:val="16"/>
                <w:color w:val="auto"/>
              </w:rPr>
              <w:t>$10.09</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$(7.44)</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$(1.78)</w:t>
            </w:r>
          </w:p>
        </w:tc>
        <w:tc>
          <w:tcPr>
            <w:tcW w:w="80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66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$357.5</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$137.4</w:t>
            </w:r>
          </w:p>
        </w:tc>
        <w:tc>
          <w:tcPr>
            <w:tcW w:w="800" w:type="dxa"/>
            <w:vAlign w:val="bottom"/>
          </w:tcPr>
          <w:p>
            <w:pPr>
              <w:jc w:val="right"/>
              <w:spacing w:after="0"/>
              <w:rPr>
                <w:sz w:val="20"/>
                <w:szCs w:val="20"/>
                <w:color w:val="auto"/>
              </w:rPr>
            </w:pPr>
            <w:r>
              <w:rPr>
                <w:rFonts w:ascii="Arial" w:cs="Arial" w:eastAsia="Arial" w:hAnsi="Arial"/>
                <w:sz w:val="16"/>
                <w:szCs w:val="16"/>
                <w:color w:val="auto"/>
              </w:rPr>
              <w:t>$379.4</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175.2</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24.5</w:t>
            </w:r>
          </w:p>
        </w:tc>
        <w:tc>
          <w:tcPr>
            <w:tcW w:w="800" w:type="dxa"/>
            <w:vAlign w:val="bottom"/>
          </w:tcPr>
          <w:p>
            <w:pPr>
              <w:jc w:val="right"/>
              <w:spacing w:after="0"/>
              <w:rPr>
                <w:sz w:val="20"/>
                <w:szCs w:val="20"/>
                <w:color w:val="auto"/>
              </w:rPr>
            </w:pPr>
            <w:r>
              <w:rPr>
                <w:rFonts w:ascii="Arial" w:cs="Arial" w:eastAsia="Arial" w:hAnsi="Arial"/>
                <w:sz w:val="16"/>
                <w:szCs w:val="16"/>
                <w:color w:val="auto"/>
              </w:rPr>
              <w:t>292.0</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$0.34</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$0.10</w:t>
            </w:r>
          </w:p>
        </w:tc>
        <w:tc>
          <w:tcPr>
            <w:tcW w:w="800" w:type="dxa"/>
            <w:vAlign w:val="bottom"/>
          </w:tcPr>
          <w:p>
            <w:pPr>
              <w:jc w:val="right"/>
              <w:spacing w:after="0"/>
              <w:rPr>
                <w:sz w:val="20"/>
                <w:szCs w:val="20"/>
                <w:color w:val="auto"/>
              </w:rPr>
            </w:pPr>
            <w:r>
              <w:rPr>
                <w:rFonts w:ascii="Arial" w:cs="Arial" w:eastAsia="Arial" w:hAnsi="Arial"/>
                <w:sz w:val="16"/>
                <w:szCs w:val="16"/>
                <w:color w:val="auto"/>
              </w:rPr>
              <w:t>$0.77</w:t>
            </w:r>
          </w:p>
        </w:tc>
      </w:tr>
      <w:tr>
        <w:trPr>
          <w:trHeight w:val="66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$297.3</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$273.1</w:t>
            </w:r>
          </w:p>
        </w:tc>
        <w:tc>
          <w:tcPr>
            <w:tcW w:w="800" w:type="dxa"/>
            <w:vAlign w:val="bottom"/>
          </w:tcPr>
          <w:p>
            <w:pPr>
              <w:jc w:val="right"/>
              <w:spacing w:after="0"/>
              <w:rPr>
                <w:sz w:val="20"/>
                <w:szCs w:val="20"/>
                <w:color w:val="auto"/>
              </w:rPr>
            </w:pPr>
            <w:r>
              <w:rPr>
                <w:rFonts w:ascii="Arial" w:cs="Arial" w:eastAsia="Arial" w:hAnsi="Arial"/>
                <w:sz w:val="16"/>
                <w:szCs w:val="16"/>
                <w:color w:val="auto"/>
              </w:rPr>
              <w:t>$322.9</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561.2</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370.5</w:t>
            </w:r>
          </w:p>
        </w:tc>
        <w:tc>
          <w:tcPr>
            <w:tcW w:w="800" w:type="dxa"/>
            <w:vAlign w:val="bottom"/>
          </w:tcPr>
          <w:p>
            <w:pPr>
              <w:jc w:val="right"/>
              <w:spacing w:after="0"/>
              <w:rPr>
                <w:sz w:val="20"/>
                <w:szCs w:val="20"/>
                <w:color w:val="auto"/>
              </w:rPr>
            </w:pPr>
            <w:r>
              <w:rPr>
                <w:rFonts w:ascii="Arial" w:cs="Arial" w:eastAsia="Arial" w:hAnsi="Arial"/>
                <w:sz w:val="16"/>
                <w:szCs w:val="16"/>
                <w:color w:val="auto"/>
              </w:rPr>
              <w:t>277.0</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60.7</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25.3</w:t>
            </w:r>
          </w:p>
        </w:tc>
        <w:tc>
          <w:tcPr>
            <w:tcW w:w="80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236.6</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247.8</w:t>
            </w:r>
          </w:p>
        </w:tc>
        <w:tc>
          <w:tcPr>
            <w:tcW w:w="800" w:type="dxa"/>
            <w:vAlign w:val="bottom"/>
          </w:tcPr>
          <w:p>
            <w:pPr>
              <w:jc w:val="right"/>
              <w:spacing w:after="0"/>
              <w:rPr>
                <w:sz w:val="20"/>
                <w:szCs w:val="20"/>
                <w:color w:val="auto"/>
              </w:rPr>
            </w:pPr>
            <w:r>
              <w:rPr>
                <w:rFonts w:ascii="Arial" w:cs="Arial" w:eastAsia="Arial" w:hAnsi="Arial"/>
                <w:sz w:val="16"/>
                <w:szCs w:val="16"/>
                <w:color w:val="auto"/>
              </w:rPr>
              <w:t>252.6</w:t>
            </w:r>
          </w:p>
        </w:tc>
      </w:tr>
      <w:tr>
        <w:trPr>
          <w:trHeight w:val="639"/>
        </w:trPr>
        <w:tc>
          <w:tcPr>
            <w:tcW w:w="840" w:type="dxa"/>
            <w:vAlign w:val="bottom"/>
          </w:tcPr>
          <w:p>
            <w:pPr>
              <w:spacing w:after="0"/>
              <w:rPr>
                <w:sz w:val="24"/>
                <w:szCs w:val="24"/>
                <w:color w:val="auto"/>
              </w:rPr>
            </w:pPr>
          </w:p>
        </w:tc>
        <w:tc>
          <w:tcPr>
            <w:tcW w:w="2220" w:type="dxa"/>
            <w:vAlign w:val="bottom"/>
          </w:tcPr>
          <w:p>
            <w:pPr>
              <w:jc w:val="right"/>
              <w:ind w:right="359"/>
              <w:spacing w:after="0"/>
              <w:rPr>
                <w:sz w:val="20"/>
                <w:szCs w:val="20"/>
                <w:color w:val="auto"/>
              </w:rPr>
            </w:pPr>
            <w:r>
              <w:rPr>
                <w:rFonts w:ascii="Arial" w:cs="Arial" w:eastAsia="Arial" w:hAnsi="Arial"/>
                <w:sz w:val="16"/>
                <w:szCs w:val="16"/>
                <w:color w:val="auto"/>
              </w:rPr>
              <w:t>As of December 31</w:t>
            </w:r>
          </w:p>
        </w:tc>
        <w:tc>
          <w:tcPr>
            <w:tcW w:w="800" w:type="dxa"/>
            <w:vAlign w:val="bottom"/>
          </w:tcPr>
          <w:p>
            <w:pPr>
              <w:spacing w:after="0"/>
              <w:rPr>
                <w:sz w:val="24"/>
                <w:szCs w:val="24"/>
                <w:color w:val="auto"/>
              </w:rPr>
            </w:pPr>
          </w:p>
        </w:tc>
      </w:tr>
      <w:tr>
        <w:trPr>
          <w:trHeight w:val="288"/>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$356.2</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$404.1</w:t>
            </w:r>
          </w:p>
        </w:tc>
        <w:tc>
          <w:tcPr>
            <w:tcW w:w="800" w:type="dxa"/>
            <w:vAlign w:val="bottom"/>
          </w:tcPr>
          <w:p>
            <w:pPr>
              <w:jc w:val="right"/>
              <w:spacing w:after="0"/>
              <w:rPr>
                <w:sz w:val="20"/>
                <w:szCs w:val="20"/>
                <w:color w:val="auto"/>
              </w:rPr>
            </w:pPr>
            <w:r>
              <w:rPr>
                <w:rFonts w:ascii="Arial" w:cs="Arial" w:eastAsia="Arial" w:hAnsi="Arial"/>
                <w:sz w:val="16"/>
                <w:szCs w:val="16"/>
                <w:color w:val="auto"/>
              </w:rPr>
              <w:t>$754.4</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1,903.7</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1,738.9</w:t>
            </w:r>
          </w:p>
        </w:tc>
        <w:tc>
          <w:tcPr>
            <w:tcW w:w="800" w:type="dxa"/>
            <w:vAlign w:val="bottom"/>
          </w:tcPr>
          <w:p>
            <w:pPr>
              <w:jc w:val="right"/>
              <w:spacing w:after="0"/>
              <w:rPr>
                <w:sz w:val="20"/>
                <w:szCs w:val="20"/>
                <w:color w:val="auto"/>
              </w:rPr>
            </w:pPr>
            <w:r>
              <w:rPr>
                <w:rFonts w:ascii="Arial" w:cs="Arial" w:eastAsia="Arial" w:hAnsi="Arial"/>
                <w:sz w:val="16"/>
                <w:szCs w:val="16"/>
                <w:color w:val="auto"/>
              </w:rPr>
              <w:t>1,603.7</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129.6</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82.2</w:t>
            </w:r>
          </w:p>
        </w:tc>
        <w:tc>
          <w:tcPr>
            <w:tcW w:w="80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9,332.5</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8,747.5</w:t>
            </w:r>
          </w:p>
        </w:tc>
        <w:tc>
          <w:tcPr>
            <w:tcW w:w="800" w:type="dxa"/>
            <w:vAlign w:val="bottom"/>
          </w:tcPr>
          <w:p>
            <w:pPr>
              <w:jc w:val="right"/>
              <w:spacing w:after="0"/>
              <w:rPr>
                <w:sz w:val="20"/>
                <w:szCs w:val="20"/>
                <w:color w:val="auto"/>
              </w:rPr>
            </w:pPr>
            <w:r>
              <w:rPr>
                <w:rFonts w:ascii="Arial" w:cs="Arial" w:eastAsia="Arial" w:hAnsi="Arial"/>
                <w:sz w:val="16"/>
                <w:szCs w:val="16"/>
                <w:color w:val="auto"/>
              </w:rPr>
              <w:t>9,371.0</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316.3</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164.2</w:t>
            </w:r>
          </w:p>
        </w:tc>
        <w:tc>
          <w:tcPr>
            <w:tcW w:w="8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9,278.6</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9,238.4</w:t>
            </w:r>
          </w:p>
        </w:tc>
        <w:tc>
          <w:tcPr>
            <w:tcW w:w="800" w:type="dxa"/>
            <w:vAlign w:val="bottom"/>
          </w:tcPr>
          <w:p>
            <w:pPr>
              <w:jc w:val="right"/>
              <w:spacing w:after="0"/>
              <w:rPr>
                <w:sz w:val="20"/>
                <w:szCs w:val="20"/>
                <w:color w:val="auto"/>
              </w:rPr>
            </w:pPr>
            <w:r>
              <w:rPr>
                <w:rFonts w:ascii="Arial" w:cs="Arial" w:eastAsia="Arial" w:hAnsi="Arial"/>
                <w:sz w:val="16"/>
                <w:szCs w:val="16"/>
                <w:color w:val="auto"/>
              </w:rPr>
              <w:t>7,260.2</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rPr>
              <w:t>1,162.1</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1,227.3</w:t>
            </w:r>
          </w:p>
        </w:tc>
        <w:tc>
          <w:tcPr>
            <w:tcW w:w="800" w:type="dxa"/>
            <w:vAlign w:val="bottom"/>
          </w:tcPr>
          <w:p>
            <w:pPr>
              <w:jc w:val="right"/>
              <w:spacing w:after="0"/>
              <w:rPr>
                <w:sz w:val="20"/>
                <w:szCs w:val="20"/>
                <w:color w:val="auto"/>
              </w:rPr>
            </w:pPr>
            <w:r>
              <w:rPr>
                <w:rFonts w:ascii="Arial" w:cs="Arial" w:eastAsia="Arial" w:hAnsi="Arial"/>
                <w:sz w:val="16"/>
                <w:szCs w:val="16"/>
                <w:color w:val="auto"/>
              </w:rPr>
              <w:t>1,278.7</w:t>
            </w:r>
          </w:p>
        </w:tc>
      </w:tr>
      <w:tr>
        <w:trPr>
          <w:trHeight w:val="240"/>
        </w:trPr>
        <w:tc>
          <w:tcPr>
            <w:tcW w:w="840" w:type="dxa"/>
            <w:vAlign w:val="bottom"/>
          </w:tcPr>
          <w:p>
            <w:pPr>
              <w:jc w:val="right"/>
              <w:ind w:right="139"/>
              <w:spacing w:after="0"/>
              <w:rPr>
                <w:sz w:val="20"/>
                <w:szCs w:val="20"/>
                <w:color w:val="auto"/>
              </w:rPr>
            </w:pPr>
            <w:r>
              <w:rPr>
                <w:rFonts w:ascii="Arial" w:cs="Arial" w:eastAsia="Arial" w:hAnsi="Arial"/>
                <w:sz w:val="16"/>
                <w:szCs w:val="16"/>
                <w:color w:val="auto"/>
                <w:w w:val="93"/>
              </w:rPr>
              <w:t>(3,024.7)</w:t>
            </w:r>
          </w:p>
        </w:tc>
        <w:tc>
          <w:tcPr>
            <w:tcW w:w="2220" w:type="dxa"/>
            <w:vAlign w:val="bottom"/>
          </w:tcPr>
          <w:p>
            <w:pPr>
              <w:jc w:val="right"/>
              <w:ind w:right="719"/>
              <w:spacing w:after="0"/>
              <w:rPr>
                <w:sz w:val="20"/>
                <w:szCs w:val="20"/>
                <w:color w:val="auto"/>
              </w:rPr>
            </w:pPr>
            <w:r>
              <w:rPr>
                <w:rFonts w:ascii="Arial" w:cs="Arial" w:eastAsia="Arial" w:hAnsi="Arial"/>
                <w:sz w:val="16"/>
                <w:szCs w:val="16"/>
                <w:color w:val="auto"/>
              </w:rPr>
              <w:t>(3,456.1)</w:t>
            </w:r>
          </w:p>
        </w:tc>
        <w:tc>
          <w:tcPr>
            <w:tcW w:w="800" w:type="dxa"/>
            <w:vAlign w:val="bottom"/>
          </w:tcPr>
          <w:p>
            <w:pPr>
              <w:jc w:val="right"/>
              <w:spacing w:after="0"/>
              <w:rPr>
                <w:sz w:val="20"/>
                <w:szCs w:val="20"/>
                <w:color w:val="auto"/>
              </w:rPr>
            </w:pPr>
            <w:r>
              <w:rPr>
                <w:rFonts w:ascii="Arial" w:cs="Arial" w:eastAsia="Arial" w:hAnsi="Arial"/>
                <w:sz w:val="16"/>
                <w:szCs w:val="16"/>
                <w:color w:val="auto"/>
              </w:rPr>
              <w:t>(1,004.1)</w:t>
            </w:r>
          </w:p>
        </w:tc>
      </w:tr>
    </w:tbl>
    <w:p>
      <w:pPr>
        <w:spacing w:after="0" w:line="200" w:lineRule="exact"/>
        <w:rPr>
          <w:sz w:val="20"/>
          <w:szCs w:val="20"/>
          <w:color w:val="auto"/>
        </w:rPr>
      </w:pPr>
    </w:p>
    <w:p>
      <w:pPr>
        <w:spacing w:after="0" w:line="391" w:lineRule="exact"/>
        <w:rPr>
          <w:sz w:val="20"/>
          <w:szCs w:val="20"/>
          <w:color w:val="auto"/>
        </w:rPr>
      </w:pPr>
    </w:p>
    <w:p>
      <w:pPr>
        <w:ind w:left="160" w:hanging="160"/>
        <w:spacing w:after="0"/>
        <w:tabs>
          <w:tab w:leader="none" w:pos="160" w:val="left"/>
        </w:tabs>
        <w:numPr>
          <w:ilvl w:val="0"/>
          <w:numId w:val="2"/>
        </w:numPr>
        <w:rPr>
          <w:rFonts w:ascii="Arial" w:cs="Arial" w:eastAsia="Arial" w:hAnsi="Arial"/>
          <w:sz w:val="11"/>
          <w:szCs w:val="11"/>
          <w:color w:val="auto"/>
        </w:rPr>
      </w:pPr>
      <w:r>
        <w:rPr>
          <w:rFonts w:ascii="Arial" w:cs="Arial" w:eastAsia="Arial" w:hAnsi="Arial"/>
          <w:sz w:val="11"/>
          <w:szCs w:val="11"/>
          <w:color w:val="auto"/>
        </w:rPr>
        <w:t>See reconciliation of GAAP measures to Non-GAAP measures (page 8).</w:t>
      </w:r>
    </w:p>
    <w:p>
      <w:pPr>
        <w:spacing w:after="0" w:line="123" w:lineRule="exact"/>
        <w:rPr>
          <w:rFonts w:ascii="Arial" w:cs="Arial" w:eastAsia="Arial" w:hAnsi="Arial"/>
          <w:sz w:val="11"/>
          <w:szCs w:val="11"/>
          <w:color w:val="auto"/>
        </w:rPr>
      </w:pPr>
    </w:p>
    <w:p>
      <w:pPr>
        <w:ind w:left="180" w:right="80" w:hanging="180"/>
        <w:spacing w:after="0" w:line="282"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Cash flows related to the discontinued operations have not been segregated; accordingly, this other information includes the results of continuing and discontinued operations.</w:t>
      </w:r>
    </w:p>
    <w:p>
      <w:pPr>
        <w:spacing w:after="0" w:line="517" w:lineRule="exact"/>
        <w:rPr>
          <w:sz w:val="20"/>
          <w:szCs w:val="20"/>
          <w:color w:val="auto"/>
        </w:rPr>
      </w:pPr>
    </w:p>
    <w:p>
      <w:pPr>
        <w:sectPr>
          <w:pgSz w:w="11880" w:h="15480" w:orient="portrait"/>
          <w:cols w:equalWidth="0" w:num="2">
            <w:col w:w="6200" w:space="200"/>
            <w:col w:w="3900"/>
          </w:cols>
          <w:pgMar w:left="500" w:top="758" w:right="1080" w:bottom="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596265</wp:posOffset>
                </wp:positionH>
                <wp:positionV relativeFrom="paragraph">
                  <wp:posOffset>-67310</wp:posOffset>
                </wp:positionV>
                <wp:extent cx="645795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7950" cy="4763"/>
                        </a:xfrm>
                        <a:prstGeom prst="line">
                          <a:avLst/>
                        </a:prstGeom>
                        <a:solidFill>
                          <a:srgbClr val="FFFFFF"/>
                        </a:solidFill>
                        <a:ln w="12014">
                          <a:solidFill>
                            <a:srgbClr val="CCCCCC"/>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5pt,-5.2999pt" to="555.45pt,-5.2999pt" o:allowincell="f" strokecolor="#CCCCCC" strokeweight="0.946pt"/>
            </w:pict>
          </mc:Fallback>
        </mc:AlternateContent>
      </w:r>
    </w:p>
    <w:p>
      <w:pPr>
        <w:sectPr>
          <w:pgSz w:w="11880" w:h="15480" w:orient="portrait"/>
          <w:cols w:equalWidth="0" w:num="1">
            <w:col w:w="10300"/>
          </w:cols>
          <w:pgMar w:left="500" w:top="758" w:right="1080" w:bottom="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56"/>
          <w:szCs w:val="56"/>
          <w:color w:val="FFFFFF"/>
        </w:rPr>
        <w:t>Dear Vistance</w:t>
      </w:r>
    </w:p>
    <w:p>
      <w:pPr>
        <w:spacing w:after="0" w:line="28" w:lineRule="exact"/>
        <w:rPr>
          <w:sz w:val="20"/>
          <w:szCs w:val="20"/>
          <w:color w:val="auto"/>
        </w:rPr>
      </w:pPr>
    </w:p>
    <w:p>
      <w:pPr>
        <w:spacing w:after="0"/>
        <w:rPr>
          <w:sz w:val="20"/>
          <w:szCs w:val="20"/>
          <w:color w:val="auto"/>
        </w:rPr>
      </w:pPr>
      <w:r>
        <w:rPr>
          <w:rFonts w:ascii="Arial" w:cs="Arial" w:eastAsia="Arial" w:hAnsi="Arial"/>
          <w:sz w:val="56"/>
          <w:szCs w:val="56"/>
          <w:color w:val="FFFFFF"/>
        </w:rPr>
        <w:t>Networks</w:t>
      </w:r>
    </w:p>
    <w:p>
      <w:pPr>
        <w:spacing w:after="0" w:line="28" w:lineRule="exact"/>
        <w:rPr>
          <w:sz w:val="20"/>
          <w:szCs w:val="20"/>
          <w:color w:val="auto"/>
        </w:rPr>
      </w:pPr>
    </w:p>
    <w:p>
      <w:pPr>
        <w:spacing w:after="0"/>
        <w:rPr>
          <w:sz w:val="20"/>
          <w:szCs w:val="20"/>
          <w:color w:val="auto"/>
        </w:rPr>
      </w:pPr>
      <w:r>
        <w:rPr>
          <w:rFonts w:ascii="Arial" w:cs="Arial" w:eastAsia="Arial" w:hAnsi="Arial"/>
          <w:sz w:val="56"/>
          <w:szCs w:val="56"/>
          <w:color w:val="FFFFFF"/>
        </w:rPr>
        <w:t>Stockholders,</w:t>
      </w:r>
    </w:p>
    <w:p>
      <w:pPr>
        <w:sectPr>
          <w:pgSz w:w="11880" w:h="15480" w:orient="portrait"/>
          <w:cols w:equalWidth="0" w:num="1">
            <w:col w:w="10300"/>
          </w:cols>
          <w:pgMar w:left="1080" w:top="1440"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326" w:lineRule="auto"/>
        <w:rPr>
          <w:sz w:val="20"/>
          <w:szCs w:val="20"/>
          <w:color w:val="auto"/>
        </w:rPr>
      </w:pPr>
      <w:r>
        <w:rPr>
          <w:rFonts w:ascii="Arial" w:cs="Arial" w:eastAsia="Arial" w:hAnsi="Arial"/>
          <w:sz w:val="18"/>
          <w:szCs w:val="18"/>
          <w:color w:val="auto"/>
        </w:rPr>
        <w:t>In 2025, Core Vistance Networks, reported net sales of $1.93 billion, increasing 40% from the previous year, and our adjusted EBITDA of $379 million reflects a 176% increase from the prior year.</w:t>
      </w:r>
    </w:p>
    <w:p>
      <w:pPr>
        <w:spacing w:after="0" w:line="266" w:lineRule="exact"/>
        <w:rPr>
          <w:sz w:val="20"/>
          <w:szCs w:val="20"/>
          <w:color w:val="auto"/>
        </w:rPr>
      </w:pPr>
    </w:p>
    <w:p>
      <w:pPr>
        <w:spacing w:after="0" w:line="325" w:lineRule="auto"/>
        <w:rPr>
          <w:sz w:val="20"/>
          <w:szCs w:val="20"/>
          <w:color w:val="auto"/>
        </w:rPr>
      </w:pPr>
      <w:r>
        <w:rPr>
          <w:rFonts w:ascii="Arial" w:cs="Arial" w:eastAsia="Arial" w:hAnsi="Arial"/>
          <w:sz w:val="18"/>
          <w:szCs w:val="18"/>
          <w:color w:val="auto"/>
        </w:rPr>
        <w:t>These results underscore the value of our general manager model strategy and the innovation it drives, keeping us positioned to maintain and extend our leadership in the markets we serve. By pushing control and accountability to our business leaders, Vistance Networks saw robust growth across all business segments. The general manager model drives innovation and steers our research and development (R&amp;D) investments into more advantageous directions. Additionally, the general manager model improved our balance sheet management by placing decisions on controlling costs and managing inventory in the hands of those best positioned to make informed, accountable choices. Years of disciplined strategy—and our continued focus on controlling what we can control—proved their value in 2025 by positioning us to take full advantage of market opportunities as they arose.</w:t>
      </w:r>
    </w:p>
    <w:p>
      <w:pPr>
        <w:spacing w:after="0" w:line="266" w:lineRule="exact"/>
        <w:rPr>
          <w:sz w:val="20"/>
          <w:szCs w:val="20"/>
          <w:color w:val="auto"/>
        </w:rPr>
      </w:pPr>
    </w:p>
    <w:p>
      <w:pPr>
        <w:spacing w:after="0" w:line="347" w:lineRule="auto"/>
        <w:rPr>
          <w:sz w:val="20"/>
          <w:szCs w:val="20"/>
          <w:color w:val="auto"/>
        </w:rPr>
      </w:pPr>
      <w:r>
        <w:rPr>
          <w:rFonts w:ascii="Arial" w:cs="Arial" w:eastAsia="Arial" w:hAnsi="Arial"/>
          <w:sz w:val="17"/>
          <w:szCs w:val="17"/>
          <w:color w:val="auto"/>
        </w:rPr>
        <w:t>Another significant event in 2025 was the announcement of the sale of our Connectivity and Cable Solutions (CCS) segment to Amphenol Corporation (Amphenol), which closed in early 2026. This transformational transaction unlocked share value while strengthening our balance sheet. The $10 billion of net proceeds from this sale allowed us to completely pay off our existing debt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980"/>
        <w:spacing w:after="0" w:line="326" w:lineRule="auto"/>
        <w:rPr>
          <w:sz w:val="20"/>
          <w:szCs w:val="20"/>
          <w:color w:val="auto"/>
        </w:rPr>
      </w:pPr>
      <w:r>
        <w:rPr>
          <w:rFonts w:ascii="Arial" w:cs="Arial" w:eastAsia="Arial" w:hAnsi="Arial"/>
          <w:sz w:val="18"/>
          <w:szCs w:val="18"/>
          <w:color w:val="auto"/>
        </w:rPr>
        <w:t>fully redeem our preferred equity. This transaction has brought greater stability to our day-to-day operations and boosted our customers’ confidence in our long-term partnerships. We plan to distribute the excess cash in the form of a special distribution paid in April of 2026.</w:t>
      </w:r>
    </w:p>
    <w:p>
      <w:pPr>
        <w:spacing w:after="0" w:line="265" w:lineRule="exact"/>
        <w:rPr>
          <w:sz w:val="20"/>
          <w:szCs w:val="20"/>
          <w:color w:val="auto"/>
        </w:rPr>
      </w:pPr>
    </w:p>
    <w:p>
      <w:pPr>
        <w:ind w:right="960"/>
        <w:spacing w:after="0" w:line="325" w:lineRule="auto"/>
        <w:rPr>
          <w:sz w:val="20"/>
          <w:szCs w:val="20"/>
          <w:color w:val="auto"/>
        </w:rPr>
      </w:pPr>
      <w:r>
        <w:rPr>
          <w:rFonts w:ascii="Arial" w:cs="Arial" w:eastAsia="Arial" w:hAnsi="Arial"/>
          <w:sz w:val="18"/>
          <w:szCs w:val="18"/>
          <w:color w:val="auto"/>
        </w:rPr>
        <w:t>Another exciting development resulting from the CCS transaction is our new brand—Vistance Networks. As part of the sale of CCS, the CommScope name and brand conveyed to Amphenol, requiring a new name for the remaining business. Vistance Networks is now the parent company of our Aurora Networks (Aurora) segment (formally Access Networks Solutions (ANS)) and RUCKUS Networks (RUCKUS) segment. Vistance Networks was selected because it captures our mission of converting vision into performance. Vistance Networks reflects the spirit of our mission of innovation, reliability, and performance as we continue to deliver the breakthrough intelligent networking technologies that make the connected world run.</w:t>
      </w:r>
    </w:p>
    <w:p>
      <w:pPr>
        <w:spacing w:after="0" w:line="267" w:lineRule="exact"/>
        <w:rPr>
          <w:sz w:val="20"/>
          <w:szCs w:val="20"/>
          <w:color w:val="auto"/>
        </w:rPr>
      </w:pPr>
    </w:p>
    <w:p>
      <w:pPr>
        <w:ind w:right="1140"/>
        <w:spacing w:after="0" w:line="346" w:lineRule="auto"/>
        <w:rPr>
          <w:sz w:val="20"/>
          <w:szCs w:val="20"/>
          <w:color w:val="auto"/>
        </w:rPr>
      </w:pPr>
      <w:r>
        <w:rPr>
          <w:rFonts w:ascii="Arial" w:cs="Arial" w:eastAsia="Arial" w:hAnsi="Arial"/>
          <w:sz w:val="17"/>
          <w:szCs w:val="17"/>
          <w:color w:val="auto"/>
        </w:rPr>
        <w:t>In selecting Aurora as a new name for ANS, we chose to give a nod to our long heritage of innovation in delivering next-generation access network solutions. Long-time industry experts may remember Aurora, which, through a series of acquisitions, eventually became part of CommScope through the acquisition of ARRIS International plc in 2019. This reminder of our longstanding expertise coupled with our passion for innovation sets the stage for a successful future.</w:t>
      </w:r>
    </w:p>
    <w:p>
      <w:pPr>
        <w:spacing w:after="0" w:line="200" w:lineRule="exact"/>
        <w:rPr>
          <w:sz w:val="20"/>
          <w:szCs w:val="20"/>
          <w:color w:val="auto"/>
        </w:rPr>
      </w:pPr>
    </w:p>
    <w:p>
      <w:pPr>
        <w:sectPr>
          <w:pgSz w:w="11880" w:h="15480" w:orient="portrait"/>
          <w:cols w:equalWidth="0" w:num="2">
            <w:col w:w="4480" w:space="380"/>
            <w:col w:w="5440"/>
          </w:cols>
          <w:pgMar w:left="1080" w:top="1440" w:right="500" w:bottom="0" w:gutter="0" w:footer="0" w:header="0"/>
          <w:type w:val="continuous"/>
        </w:sectPr>
      </w:pPr>
    </w:p>
    <w:p>
      <w:pPr>
        <w:spacing w:after="0" w:line="149" w:lineRule="exact"/>
        <w:rPr>
          <w:sz w:val="20"/>
          <w:szCs w:val="20"/>
          <w:color w:val="auto"/>
        </w:rPr>
      </w:pPr>
    </w:p>
    <w:p>
      <w:pPr>
        <w:ind w:left="7760"/>
        <w:spacing w:after="0"/>
        <w:tabs>
          <w:tab w:leader="none" w:pos="10200" w:val="left"/>
        </w:tabs>
        <w:rPr>
          <w:sz w:val="20"/>
          <w:szCs w:val="20"/>
          <w:color w:val="auto"/>
        </w:rPr>
      </w:pPr>
      <w:r>
        <w:rPr>
          <w:rFonts w:ascii="Arial" w:cs="Arial" w:eastAsia="Arial" w:hAnsi="Arial"/>
          <w:sz w:val="18"/>
          <w:szCs w:val="18"/>
          <w:color w:val="auto"/>
        </w:rPr>
        <w:t>2025 Annual Report</w:t>
      </w:r>
      <w:r>
        <w:rPr>
          <w:sz w:val="20"/>
          <w:szCs w:val="20"/>
          <w:color w:val="auto"/>
        </w:rPr>
        <w:tab/>
      </w:r>
      <w:r>
        <w:rPr>
          <w:rFonts w:ascii="Arial" w:cs="Arial" w:eastAsia="Arial" w:hAnsi="Arial"/>
          <w:sz w:val="14"/>
          <w:szCs w:val="14"/>
          <w:color w:val="auto"/>
        </w:rPr>
        <w:t>3</w:t>
      </w:r>
    </w:p>
    <w:p>
      <w:pPr>
        <w:sectPr>
          <w:pgSz w:w="11880" w:h="15480" w:orient="portrait"/>
          <w:cols w:equalWidth="0" w:num="1">
            <w:col w:w="10300"/>
          </w:cols>
          <w:pgMar w:left="1080" w:top="1440" w:right="500" w:bottom="0" w:gutter="0" w:footer="0" w:header="0"/>
          <w:type w:val="continuous"/>
        </w:sectPr>
      </w:pPr>
    </w:p>
    <w:bookmarkStart w:id="3" w:name="page4"/>
    <w:bookmarkEnd w:id="3"/>
    <w:p>
      <w:pPr>
        <w:ind w:left="940"/>
        <w:spacing w:after="0" w:line="326" w:lineRule="auto"/>
        <w:rPr>
          <w:sz w:val="20"/>
          <w:szCs w:val="20"/>
          <w:color w:val="auto"/>
        </w:rPr>
      </w:pPr>
      <w:r>
        <w:rPr>
          <w:rFonts w:ascii="Arial" w:cs="Arial" w:eastAsia="Arial" w:hAnsi="Arial"/>
          <w:sz w:val="18"/>
          <w:szCs w:val="18"/>
          <w:color w:val="auto"/>
        </w:rPr>
        <w:t>Although the sale of the CCS segment, and the exciting new era of Vistance Networks captured the headlines, there was much more to our success in 2025, and it was rooted in exceptional results across our remaining business segments.</w:t>
      </w:r>
    </w:p>
    <w:p>
      <w:pPr>
        <w:spacing w:after="0" w:line="265" w:lineRule="exact"/>
        <w:rPr>
          <w:sz w:val="20"/>
          <w:szCs w:val="20"/>
          <w:color w:val="auto"/>
        </w:rPr>
      </w:pPr>
    </w:p>
    <w:p>
      <w:pPr>
        <w:ind w:left="940"/>
        <w:spacing w:after="0" w:line="325" w:lineRule="auto"/>
        <w:rPr>
          <w:sz w:val="20"/>
          <w:szCs w:val="20"/>
          <w:color w:val="auto"/>
        </w:rPr>
      </w:pPr>
      <w:r>
        <w:rPr>
          <w:rFonts w:ascii="Arial" w:cs="Arial" w:eastAsia="Arial" w:hAnsi="Arial"/>
          <w:sz w:val="18"/>
          <w:szCs w:val="18"/>
          <w:color w:val="auto"/>
        </w:rPr>
        <w:t>Firstly, Aurora revenue of $1.2 billion increased 47% year-over-year, and adjusted EBITDA of $252 million increased 138% year-over-year. Aurora’s remarkable growth was fueled by the deployment of our new DOCSIS 4.0 FDX amplifier and node products. We are the only solution provider offering the full DOCSIS 4.0 access technology ecosystem, including nodes, DAA modules and amplifiers, which uniquely positions the business to support any operator’s path to 10G services. It is still early in the DOCSIS 4.0 upgrade cycle, and we will be ready with a full array of products and solutions to support our customers in their network upgrades. This progress is directly traceable to our commitment to powering the R&amp;D pipeline even through the previous market downturn. In addition, our acquisition of Casa Systems® vCCAP technology positioned us for our first vCCAP win with a Tier 1 service provider in Europe.</w:t>
      </w:r>
    </w:p>
    <w:p>
      <w:pPr>
        <w:spacing w:after="0" w:line="266" w:lineRule="exact"/>
        <w:rPr>
          <w:sz w:val="20"/>
          <w:szCs w:val="20"/>
          <w:color w:val="auto"/>
        </w:rPr>
      </w:pPr>
    </w:p>
    <w:p>
      <w:pPr>
        <w:ind w:left="940" w:right="20"/>
        <w:spacing w:after="0" w:line="343" w:lineRule="auto"/>
        <w:rPr>
          <w:sz w:val="20"/>
          <w:szCs w:val="20"/>
          <w:color w:val="auto"/>
        </w:rPr>
      </w:pPr>
      <w:r>
        <w:rPr>
          <w:rFonts w:ascii="Arial" w:cs="Arial" w:eastAsia="Arial" w:hAnsi="Arial"/>
          <w:sz w:val="17"/>
          <w:szCs w:val="17"/>
          <w:color w:val="auto"/>
        </w:rPr>
        <w:t>Secondly, RUCKUS revenue of $699 million increased by 28% year-over-year, and adjusted EBITDA of $128 million increased 306% year-over-year. The Wi-Fi 7 upgrade-cycle contributed to the growth in 2025 and is expected to continue over the next couple of years. RUCKUS introduced its first Wi-Fi 7 access point in late 2023, which helped us move ahead in the technology curve. We have subsequently solidified our leading role in this technology. For instance, the RUCKUS Wi-Fi</w:t>
      </w:r>
    </w:p>
    <w:p>
      <w:pPr>
        <w:spacing w:after="0" w:line="6" w:lineRule="exact"/>
        <w:rPr>
          <w:sz w:val="20"/>
          <w:szCs w:val="20"/>
          <w:color w:val="auto"/>
        </w:rPr>
      </w:pPr>
    </w:p>
    <w:p>
      <w:pPr>
        <w:ind w:left="940" w:right="80"/>
        <w:spacing w:after="0" w:line="326" w:lineRule="auto"/>
        <w:rPr>
          <w:sz w:val="20"/>
          <w:szCs w:val="20"/>
          <w:color w:val="auto"/>
        </w:rPr>
      </w:pPr>
      <w:r>
        <w:rPr>
          <w:rFonts w:ascii="Arial" w:cs="Arial" w:eastAsia="Arial" w:hAnsi="Arial"/>
          <w:sz w:val="18"/>
          <w:szCs w:val="18"/>
          <w:color w:val="auto"/>
        </w:rPr>
        <w:t>7 platform is driven by RUCKUS AI, a cloud service for network assurance and business intelligence to enhance Wi-Fi 7 network resilience. RUCKUS AI simplifies network management by presenting key information to operators to improve network visibility,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793115</wp:posOffset>
            </wp:positionV>
            <wp:extent cx="2056765" cy="345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2056765" cy="345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auto"/>
        <w:rPr>
          <w:sz w:val="20"/>
          <w:szCs w:val="20"/>
          <w:color w:val="auto"/>
        </w:rPr>
      </w:pPr>
      <w:r>
        <w:rPr>
          <w:rFonts w:ascii="Arial" w:cs="Arial" w:eastAsia="Arial" w:hAnsi="Arial"/>
          <w:sz w:val="18"/>
          <w:szCs w:val="18"/>
          <w:color w:val="auto"/>
        </w:rPr>
        <w:t>speed up problem solving and meet service level agreements, thus ensuring a seamless experience for the user. RUCKUS AI, among other new solutions, broadens the overall value customers receive in partnering with RUCKUS for their Wi-Fi network needs. We have also invested in our sales teams and our go-to-market strategy to better reach adjacent vertical markets and support new product introductions to position us for growth in 2026.</w:t>
      </w:r>
    </w:p>
    <w:p>
      <w:pPr>
        <w:spacing w:after="0" w:line="268" w:lineRule="exact"/>
        <w:rPr>
          <w:sz w:val="20"/>
          <w:szCs w:val="20"/>
          <w:color w:val="auto"/>
        </w:rPr>
      </w:pPr>
    </w:p>
    <w:p>
      <w:pPr>
        <w:ind w:right="40"/>
        <w:spacing w:after="0" w:line="346" w:lineRule="auto"/>
        <w:rPr>
          <w:sz w:val="20"/>
          <w:szCs w:val="20"/>
          <w:color w:val="auto"/>
        </w:rPr>
      </w:pPr>
      <w:r>
        <w:rPr>
          <w:rFonts w:ascii="Arial" w:cs="Arial" w:eastAsia="Arial" w:hAnsi="Arial"/>
          <w:sz w:val="17"/>
          <w:szCs w:val="17"/>
          <w:color w:val="auto"/>
        </w:rPr>
        <w:t>Vistance Networks exited 2024 challenged by our debt position. However, the close of the sale of our Outdoor Wireless Networks (OWN) segment and Distributed Antenna Systems business to Amphenol at the beginning of 2024 allowed us to repay a meaningful portion of our outstanding debt. We then announced the sale of the CCS segment and began preparing for separation. Meanwhile, we continued to stay laser focused on the performance of each of our segments. 2025 finished on a strong note and we are well positioned for 2026.</w:t>
      </w:r>
    </w:p>
    <w:p>
      <w:pPr>
        <w:spacing w:after="0" w:line="253" w:lineRule="exact"/>
        <w:rPr>
          <w:sz w:val="20"/>
          <w:szCs w:val="20"/>
          <w:color w:val="auto"/>
        </w:rPr>
      </w:pPr>
    </w:p>
    <w:p>
      <w:pPr>
        <w:spacing w:after="0" w:line="325" w:lineRule="auto"/>
        <w:rPr>
          <w:sz w:val="20"/>
          <w:szCs w:val="20"/>
          <w:color w:val="auto"/>
        </w:rPr>
      </w:pPr>
      <w:r>
        <w:rPr>
          <w:rFonts w:ascii="Arial" w:cs="Arial" w:eastAsia="Arial" w:hAnsi="Arial"/>
          <w:sz w:val="18"/>
          <w:szCs w:val="18"/>
          <w:color w:val="auto"/>
        </w:rPr>
        <w:t>Reflecting on the many changes that have taken place over the last 12 months, I begin the new year with a deep sense of anticipation and energy. Vistance Networks will continue to drive innovation, invest in the R&amp;D pipeline and meet our customers’ challenges while exceeding their visions, and prove—day after day— that we are, and will remain, the trusted solutions partner to networks all over the world. We will keep doing what has been effective to date, leveraging the general manager model to continue driving innovation in a profitable direction and delivering increased value to both our customers and stockholders.</w:t>
      </w:r>
    </w:p>
    <w:p>
      <w:pPr>
        <w:spacing w:after="0" w:line="267" w:lineRule="exact"/>
        <w:rPr>
          <w:sz w:val="20"/>
          <w:szCs w:val="20"/>
          <w:color w:val="auto"/>
        </w:rPr>
      </w:pPr>
    </w:p>
    <w:p>
      <w:pPr>
        <w:ind w:right="60"/>
        <w:spacing w:after="0" w:line="326" w:lineRule="auto"/>
        <w:rPr>
          <w:sz w:val="20"/>
          <w:szCs w:val="20"/>
          <w:color w:val="auto"/>
        </w:rPr>
      </w:pPr>
      <w:r>
        <w:rPr>
          <w:rFonts w:ascii="Arial" w:cs="Arial" w:eastAsia="Arial" w:hAnsi="Arial"/>
          <w:sz w:val="18"/>
          <w:szCs w:val="18"/>
          <w:color w:val="auto"/>
        </w:rPr>
        <w:t>As the new era begins, we reflect on an exciting future built on a strong legacy of integrity and innovation— and I cannot wait to get started on the next phase of our evolution.</w:t>
      </w:r>
    </w:p>
    <w:p>
      <w:pPr>
        <w:spacing w:after="0" w:line="488" w:lineRule="exact"/>
        <w:rPr>
          <w:sz w:val="20"/>
          <w:szCs w:val="20"/>
          <w:color w:val="auto"/>
        </w:rPr>
      </w:pPr>
    </w:p>
    <w:p>
      <w:pPr>
        <w:sectPr>
          <w:pgSz w:w="11880" w:h="15480" w:orient="portrait"/>
          <w:cols w:equalWidth="0" w:num="2">
            <w:col w:w="5260" w:space="540"/>
            <w:col w:w="4480"/>
          </w:cols>
          <w:pgMar w:left="500" w:top="73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00"/>
        <w:spacing w:after="0"/>
        <w:rPr>
          <w:sz w:val="20"/>
          <w:szCs w:val="20"/>
          <w:color w:val="auto"/>
        </w:rPr>
      </w:pPr>
      <w:r>
        <w:rPr>
          <w:rFonts w:ascii="Arial" w:cs="Arial" w:eastAsia="Arial" w:hAnsi="Arial"/>
          <w:sz w:val="24"/>
          <w:szCs w:val="24"/>
          <w:color w:val="auto"/>
        </w:rPr>
        <w:t>Chuck Treadway</w:t>
      </w:r>
    </w:p>
    <w:p>
      <w:pPr>
        <w:spacing w:after="0" w:line="6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President and Chief Executive Officer</w:t>
      </w:r>
    </w:p>
    <w:p>
      <w:pPr>
        <w:sectPr>
          <w:pgSz w:w="11880" w:h="15480" w:orient="portrait"/>
          <w:cols w:equalWidth="0" w:num="1">
            <w:col w:w="10280"/>
          </w:cols>
          <w:pgMar w:left="500" w:top="731"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596265</wp:posOffset>
                </wp:positionH>
                <wp:positionV relativeFrom="paragraph">
                  <wp:posOffset>-67310</wp:posOffset>
                </wp:positionV>
                <wp:extent cx="663003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0035" cy="4763"/>
                        </a:xfrm>
                        <a:prstGeom prst="line">
                          <a:avLst/>
                        </a:prstGeom>
                        <a:solidFill>
                          <a:srgbClr val="FFFFFF"/>
                        </a:solidFill>
                        <a:ln w="12293">
                          <a:solidFill>
                            <a:srgbClr val="CCCCCC"/>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5pt,-5.2999pt" to="569pt,-5.2999pt" o:allowincell="f" strokecolor="#CCCCCC" strokeweight="0.968pt"/>
            </w:pict>
          </mc:Fallback>
        </mc:AlternateContent>
      </w:r>
    </w:p>
    <w:p>
      <w:pPr>
        <w:sectPr>
          <w:pgSz w:w="11880" w:h="15480" w:orient="portrait"/>
          <w:cols w:equalWidth="0" w:num="1">
            <w:col w:w="10280"/>
          </w:cols>
          <w:pgMar w:left="500" w:top="731" w:right="1100" w:bottom="0" w:gutter="0" w:footer="0" w:header="0"/>
          <w:type w:val="continuous"/>
        </w:sectPr>
      </w:pPr>
    </w:p>
    <w:bookmarkStart w:id="4" w:name="page5"/>
    <w:bookmarkEnd w:id="4"/>
    <w:p>
      <w:pPr>
        <w:ind w:left="10"/>
        <w:spacing w:after="0"/>
        <w:rPr>
          <w:sz w:val="20"/>
          <w:szCs w:val="20"/>
          <w:color w:val="auto"/>
        </w:rPr>
      </w:pPr>
      <w:r>
        <w:rPr>
          <w:rFonts w:ascii="Arial" w:cs="Arial" w:eastAsia="Arial" w:hAnsi="Arial"/>
          <w:sz w:val="28"/>
          <w:szCs w:val="28"/>
          <w:color w:val="auto"/>
        </w:rPr>
        <w:t>2025 financial and operational performance</w:t>
      </w:r>
    </w:p>
    <w:p>
      <w:pPr>
        <w:spacing w:after="0" w:line="200" w:lineRule="exact"/>
        <w:rPr>
          <w:sz w:val="20"/>
          <w:szCs w:val="20"/>
          <w:color w:val="auto"/>
        </w:rPr>
      </w:pPr>
    </w:p>
    <w:p>
      <w:pPr>
        <w:spacing w:after="0" w:line="300" w:lineRule="exact"/>
        <w:rPr>
          <w:sz w:val="20"/>
          <w:szCs w:val="20"/>
          <w:color w:val="auto"/>
        </w:rPr>
      </w:pPr>
    </w:p>
    <w:p>
      <w:pPr>
        <w:ind w:left="10" w:right="980"/>
        <w:spacing w:after="0" w:line="328" w:lineRule="auto"/>
        <w:rPr>
          <w:sz w:val="20"/>
          <w:szCs w:val="20"/>
          <w:color w:val="auto"/>
        </w:rPr>
      </w:pPr>
      <w:r>
        <w:rPr>
          <w:rFonts w:ascii="Arial" w:cs="Arial" w:eastAsia="Arial" w:hAnsi="Arial"/>
          <w:sz w:val="18"/>
          <w:szCs w:val="18"/>
          <w:color w:val="auto"/>
        </w:rPr>
        <w:t>Throughout 2025, Vistance Networks experienced market recovery, new product introductions, vertical expansion and the beginning of upgrade cycles by customers. Staying focused on what we can control, we have strengthened our position and will continue to innovate intelligent network solutions to lead the industry.</w:t>
      </w:r>
    </w:p>
    <w:p>
      <w:pPr>
        <w:sectPr>
          <w:pgSz w:w="11880" w:h="15480" w:orient="portrait"/>
          <w:cols w:equalWidth="0" w:num="1">
            <w:col w:w="10290"/>
          </w:cols>
          <w:pgMar w:left="1090" w:top="737" w:right="500" w:bottom="0" w:gutter="0" w:footer="0" w:header="0"/>
        </w:sectPr>
      </w:pPr>
    </w:p>
    <w:p>
      <w:pPr>
        <w:spacing w:after="0" w:line="262"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These are the top-line company-wide results for 2025:</w:t>
      </w:r>
    </w:p>
    <w:p>
      <w:pPr>
        <w:spacing w:after="0" w:line="200" w:lineRule="exact"/>
        <w:rPr>
          <w:sz w:val="20"/>
          <w:szCs w:val="20"/>
          <w:color w:val="auto"/>
        </w:rPr>
      </w:pPr>
    </w:p>
    <w:p>
      <w:pPr>
        <w:spacing w:after="0" w:line="246" w:lineRule="exact"/>
        <w:rPr>
          <w:sz w:val="20"/>
          <w:szCs w:val="20"/>
          <w:color w:val="auto"/>
        </w:rPr>
      </w:pPr>
    </w:p>
    <w:p>
      <w:pPr>
        <w:ind w:left="270" w:right="860" w:hanging="270"/>
        <w:spacing w:after="0" w:line="354" w:lineRule="auto"/>
        <w:tabs>
          <w:tab w:leader="none" w:pos="270" w:val="left"/>
        </w:tabs>
        <w:numPr>
          <w:ilvl w:val="0"/>
          <w:numId w:val="3"/>
        </w:numPr>
        <w:rPr>
          <w:rFonts w:ascii="Arial" w:cs="Arial" w:eastAsia="Arial" w:hAnsi="Arial"/>
          <w:sz w:val="18"/>
          <w:szCs w:val="18"/>
          <w:color w:val="009EC7"/>
        </w:rPr>
      </w:pPr>
      <w:r>
        <w:rPr>
          <w:rFonts w:ascii="Arial" w:cs="Arial" w:eastAsia="Arial" w:hAnsi="Arial"/>
          <w:sz w:val="18"/>
          <w:szCs w:val="18"/>
          <w:color w:val="auto"/>
        </w:rPr>
        <w:t>Vistance Networks delivered net sales of $1.9 billion, increasing by 40% YoY.</w:t>
      </w:r>
    </w:p>
    <w:p>
      <w:pPr>
        <w:spacing w:after="0" w:line="169" w:lineRule="exact"/>
        <w:rPr>
          <w:rFonts w:ascii="Arial" w:cs="Arial" w:eastAsia="Arial" w:hAnsi="Arial"/>
          <w:sz w:val="18"/>
          <w:szCs w:val="18"/>
          <w:color w:val="009EC7"/>
        </w:rPr>
      </w:pPr>
    </w:p>
    <w:p>
      <w:pPr>
        <w:ind w:left="270" w:right="740" w:hanging="270"/>
        <w:spacing w:after="0" w:line="389" w:lineRule="auto"/>
        <w:tabs>
          <w:tab w:leader="none" w:pos="270" w:val="left"/>
        </w:tabs>
        <w:numPr>
          <w:ilvl w:val="0"/>
          <w:numId w:val="3"/>
        </w:numPr>
        <w:rPr>
          <w:rFonts w:ascii="Arial" w:cs="Arial" w:eastAsia="Arial" w:hAnsi="Arial"/>
          <w:sz w:val="17"/>
          <w:szCs w:val="17"/>
          <w:color w:val="009EC7"/>
        </w:rPr>
      </w:pPr>
      <w:r>
        <w:rPr>
          <w:rFonts w:ascii="Arial" w:cs="Arial" w:eastAsia="Arial" w:hAnsi="Arial"/>
          <w:sz w:val="17"/>
          <w:szCs w:val="17"/>
          <w:color w:val="auto"/>
        </w:rPr>
        <w:t>Vistance Networks Core adjusted EBITDA of $379 million increased by 176% YoY.</w:t>
      </w:r>
    </w:p>
    <w:p>
      <w:pPr>
        <w:spacing w:after="0" w:line="146" w:lineRule="exact"/>
        <w:rPr>
          <w:rFonts w:ascii="Arial" w:cs="Arial" w:eastAsia="Arial" w:hAnsi="Arial"/>
          <w:sz w:val="17"/>
          <w:szCs w:val="17"/>
          <w:color w:val="009EC7"/>
        </w:rPr>
      </w:pPr>
    </w:p>
    <w:p>
      <w:pPr>
        <w:ind w:left="270" w:right="1380" w:hanging="270"/>
        <w:spacing w:after="0" w:line="389" w:lineRule="auto"/>
        <w:tabs>
          <w:tab w:leader="none" w:pos="270" w:val="left"/>
        </w:tabs>
        <w:numPr>
          <w:ilvl w:val="0"/>
          <w:numId w:val="3"/>
        </w:numPr>
        <w:rPr>
          <w:rFonts w:ascii="Arial" w:cs="Arial" w:eastAsia="Arial" w:hAnsi="Arial"/>
          <w:sz w:val="17"/>
          <w:szCs w:val="17"/>
          <w:color w:val="009EC7"/>
        </w:rPr>
      </w:pPr>
      <w:r>
        <w:rPr>
          <w:rFonts w:ascii="Arial" w:cs="Arial" w:eastAsia="Arial" w:hAnsi="Arial"/>
          <w:sz w:val="17"/>
          <w:szCs w:val="17"/>
          <w:color w:val="auto"/>
        </w:rPr>
        <w:t>Adjusted earnings per share were $0.77, an increase of 670% YoY.</w:t>
      </w:r>
    </w:p>
    <w:p>
      <w:pPr>
        <w:spacing w:after="0" w:line="146" w:lineRule="exact"/>
        <w:rPr>
          <w:rFonts w:ascii="Arial" w:cs="Arial" w:eastAsia="Arial" w:hAnsi="Arial"/>
          <w:sz w:val="17"/>
          <w:szCs w:val="17"/>
          <w:color w:val="009EC7"/>
        </w:rPr>
      </w:pPr>
    </w:p>
    <w:p>
      <w:pPr>
        <w:ind w:left="270" w:right="20" w:hanging="270"/>
        <w:spacing w:after="0" w:line="373" w:lineRule="auto"/>
        <w:tabs>
          <w:tab w:leader="none" w:pos="270" w:val="left"/>
        </w:tabs>
        <w:numPr>
          <w:ilvl w:val="0"/>
          <w:numId w:val="3"/>
        </w:numPr>
        <w:rPr>
          <w:rFonts w:ascii="Arial" w:cs="Arial" w:eastAsia="Arial" w:hAnsi="Arial"/>
          <w:sz w:val="17"/>
          <w:szCs w:val="17"/>
          <w:color w:val="009EC7"/>
        </w:rPr>
      </w:pPr>
      <w:r>
        <w:rPr>
          <w:rFonts w:ascii="Arial" w:cs="Arial" w:eastAsia="Arial" w:hAnsi="Arial"/>
          <w:sz w:val="17"/>
          <w:szCs w:val="17"/>
          <w:color w:val="auto"/>
        </w:rPr>
        <w:t>For the full year 2025, Vistance Networks delivered $323 million of cash flow from operations and, free cash flow of $253 million – both higher than was expected at the beginning of the year, despite increased use of cash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99060</wp:posOffset>
            </wp:positionV>
            <wp:extent cx="6158865" cy="4866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6158865" cy="4866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right="1220" w:hanging="280"/>
        <w:spacing w:after="0" w:line="350" w:lineRule="auto"/>
        <w:tabs>
          <w:tab w:leader="none" w:pos="280" w:val="left"/>
        </w:tabs>
        <w:numPr>
          <w:ilvl w:val="0"/>
          <w:numId w:val="4"/>
        </w:numPr>
        <w:rPr>
          <w:rFonts w:ascii="Arial" w:cs="Arial" w:eastAsia="Arial" w:hAnsi="Arial"/>
          <w:sz w:val="18"/>
          <w:szCs w:val="18"/>
          <w:color w:val="009EC7"/>
        </w:rPr>
      </w:pPr>
      <w:r>
        <w:rPr>
          <w:rFonts w:ascii="Arial" w:cs="Arial" w:eastAsia="Arial" w:hAnsi="Arial"/>
          <w:sz w:val="18"/>
          <w:szCs w:val="18"/>
          <w:color w:val="auto"/>
        </w:rPr>
        <w:t>Vistance Networks (including CCS) ended the year with net leverage at 4.8x, well below the 6.0x expectation we had committed for 2026. Net leverage was down from 7.8x at the end of 2024.</w:t>
      </w:r>
    </w:p>
    <w:p>
      <w:pPr>
        <w:spacing w:after="0" w:line="172" w:lineRule="exact"/>
        <w:rPr>
          <w:rFonts w:ascii="Arial" w:cs="Arial" w:eastAsia="Arial" w:hAnsi="Arial"/>
          <w:sz w:val="18"/>
          <w:szCs w:val="18"/>
          <w:color w:val="009EC7"/>
        </w:rPr>
      </w:pPr>
    </w:p>
    <w:p>
      <w:pPr>
        <w:ind w:left="280" w:right="1320" w:hanging="280"/>
        <w:spacing w:after="0" w:line="372" w:lineRule="auto"/>
        <w:tabs>
          <w:tab w:leader="none" w:pos="280" w:val="left"/>
        </w:tabs>
        <w:numPr>
          <w:ilvl w:val="0"/>
          <w:numId w:val="4"/>
        </w:numPr>
        <w:rPr>
          <w:rFonts w:ascii="Arial" w:cs="Arial" w:eastAsia="Arial" w:hAnsi="Arial"/>
          <w:sz w:val="17"/>
          <w:szCs w:val="17"/>
          <w:color w:val="009EC7"/>
        </w:rPr>
      </w:pPr>
      <w:r>
        <w:rPr>
          <w:rFonts w:ascii="Arial" w:cs="Arial" w:eastAsia="Arial" w:hAnsi="Arial"/>
          <w:sz w:val="17"/>
          <w:szCs w:val="17"/>
          <w:color w:val="auto"/>
        </w:rPr>
        <w:t>Vistance Networks announced that we entered into an agreement with Amphenol to sell the CCS segment for ~$10.5 billion. With the proceeds, the Company expects to repay all debt, redeem all preferred equity and distribute excess cash to shareholders after transaction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2063750</wp:posOffset>
            </wp:positionV>
            <wp:extent cx="47053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470535" cy="1270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2552065</wp:posOffset>
            </wp:positionV>
            <wp:extent cx="47053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470535" cy="1270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3040380</wp:posOffset>
            </wp:positionV>
            <wp:extent cx="47053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470535" cy="1270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3528695</wp:posOffset>
            </wp:positionV>
            <wp:extent cx="47053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470535" cy="1270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4017010</wp:posOffset>
            </wp:positionV>
            <wp:extent cx="47053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470535" cy="1270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4505325</wp:posOffset>
            </wp:positionV>
            <wp:extent cx="47053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470535" cy="12700"/>
                    </a:xfrm>
                    <a:prstGeom prst="rect">
                      <a:avLst/>
                    </a:prstGeom>
                    <a:noFill/>
                  </pic:spPr>
                </pic:pic>
              </a:graphicData>
            </a:graphic>
          </wp:anchor>
        </w:drawing>
      </w:r>
    </w:p>
    <w:p>
      <w:pPr>
        <w:spacing w:after="0" w:line="860" w:lineRule="exact"/>
        <w:rPr>
          <w:sz w:val="20"/>
          <w:szCs w:val="20"/>
          <w:color w:val="auto"/>
        </w:rPr>
      </w:pPr>
    </w:p>
    <w:p>
      <w:pPr>
        <w:sectPr>
          <w:pgSz w:w="11880" w:h="15480" w:orient="portrait"/>
          <w:cols w:equalWidth="0" w:num="2">
            <w:col w:w="4310" w:space="540"/>
            <w:col w:w="5440"/>
          </w:cols>
          <w:pgMar w:left="1090" w:top="737" w:right="5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750"/>
        <w:spacing w:after="0"/>
        <w:tabs>
          <w:tab w:leader="none" w:pos="10190" w:val="left"/>
        </w:tabs>
        <w:rPr>
          <w:sz w:val="20"/>
          <w:szCs w:val="20"/>
          <w:color w:val="auto"/>
        </w:rPr>
      </w:pPr>
      <w:r>
        <w:rPr>
          <w:rFonts w:ascii="Arial" w:cs="Arial" w:eastAsia="Arial" w:hAnsi="Arial"/>
          <w:sz w:val="18"/>
          <w:szCs w:val="18"/>
          <w:color w:val="auto"/>
        </w:rPr>
        <w:t>2025 Annual Report</w:t>
      </w:r>
      <w:r>
        <w:rPr>
          <w:sz w:val="20"/>
          <w:szCs w:val="20"/>
          <w:color w:val="auto"/>
        </w:rPr>
        <w:tab/>
      </w:r>
      <w:r>
        <w:rPr>
          <w:rFonts w:ascii="Arial" w:cs="Arial" w:eastAsia="Arial" w:hAnsi="Arial"/>
          <w:sz w:val="14"/>
          <w:szCs w:val="14"/>
          <w:color w:val="auto"/>
        </w:rPr>
        <w:t>5</w:t>
      </w:r>
    </w:p>
    <w:p>
      <w:pPr>
        <w:sectPr>
          <w:pgSz w:w="11880" w:h="15480" w:orient="portrait"/>
          <w:cols w:equalWidth="0" w:num="1">
            <w:col w:w="10290"/>
          </w:cols>
          <w:pgMar w:left="1090" w:top="737" w:right="500" w:bottom="0" w:gutter="0" w:footer="0" w:header="0"/>
          <w:type w:val="continuous"/>
        </w:sectPr>
      </w:pPr>
    </w:p>
    <w:bookmarkStart w:id="5" w:name="page6"/>
    <w:bookmarkEnd w:id="5"/>
    <w:p>
      <w:pPr>
        <w:ind w:left="940"/>
        <w:spacing w:after="0"/>
        <w:rPr>
          <w:sz w:val="20"/>
          <w:szCs w:val="20"/>
          <w:color w:val="auto"/>
        </w:rPr>
      </w:pPr>
      <w:r>
        <w:rPr>
          <w:rFonts w:ascii="Arial" w:cs="Arial" w:eastAsia="Arial" w:hAnsi="Arial"/>
          <w:sz w:val="28"/>
          <w:szCs w:val="28"/>
          <w:color w:val="auto"/>
        </w:rPr>
        <w:t>Business segment highlights</w:t>
      </w:r>
    </w:p>
    <w:p>
      <w:pPr>
        <w:spacing w:after="0" w:line="206" w:lineRule="exact"/>
        <w:rPr>
          <w:sz w:val="20"/>
          <w:szCs w:val="20"/>
          <w:color w:val="auto"/>
        </w:rPr>
      </w:pPr>
    </w:p>
    <w:p>
      <w:pPr>
        <w:jc w:val="both"/>
        <w:ind w:left="940"/>
        <w:spacing w:after="0" w:line="328" w:lineRule="auto"/>
        <w:rPr>
          <w:sz w:val="20"/>
          <w:szCs w:val="20"/>
          <w:color w:val="auto"/>
        </w:rPr>
      </w:pPr>
      <w:r>
        <w:rPr>
          <w:rFonts w:ascii="Arial" w:cs="Arial" w:eastAsia="Arial" w:hAnsi="Arial"/>
          <w:sz w:val="18"/>
          <w:szCs w:val="18"/>
          <w:color w:val="auto"/>
        </w:rPr>
        <w:t>In 2025, Vistance Networks’ two remaining business segments posted some wins of their own by pursuing excellence in their individual markets. They moved Vistance Networks ahead through product innovation and consistent delivery of high-performance intelligent networks, all over the world.</w:t>
      </w:r>
    </w:p>
    <w:p>
      <w:pPr>
        <w:sectPr>
          <w:pgSz w:w="11880" w:h="15480" w:orient="portrait"/>
          <w:cols w:equalWidth="0" w:num="1">
            <w:col w:w="10220"/>
          </w:cols>
          <w:pgMar w:left="500" w:top="757" w:right="1160" w:bottom="0" w:gutter="0" w:footer="0" w:header="0"/>
        </w:sectPr>
      </w:pPr>
    </w:p>
    <w:p>
      <w:pPr>
        <w:spacing w:after="0" w:line="200" w:lineRule="exact"/>
        <w:rPr>
          <w:sz w:val="20"/>
          <w:szCs w:val="20"/>
          <w:color w:val="auto"/>
        </w:rPr>
      </w:pPr>
    </w:p>
    <w:p>
      <w:pPr>
        <w:spacing w:after="0" w:line="283" w:lineRule="exact"/>
        <w:rPr>
          <w:sz w:val="20"/>
          <w:szCs w:val="20"/>
          <w:color w:val="auto"/>
        </w:rPr>
      </w:pPr>
    </w:p>
    <w:p>
      <w:pPr>
        <w:ind w:left="940"/>
        <w:spacing w:after="0"/>
        <w:rPr>
          <w:sz w:val="20"/>
          <w:szCs w:val="20"/>
          <w:color w:val="auto"/>
        </w:rPr>
      </w:pPr>
      <w:r>
        <w:rPr>
          <w:rFonts w:ascii="Arial" w:cs="Arial" w:eastAsia="Arial" w:hAnsi="Arial"/>
          <w:sz w:val="28"/>
          <w:szCs w:val="28"/>
          <w:color w:val="auto"/>
        </w:rPr>
        <w:t>Aurora Networks:</w:t>
      </w:r>
    </w:p>
    <w:p>
      <w:pPr>
        <w:spacing w:after="0" w:line="372" w:lineRule="exact"/>
        <w:rPr>
          <w:sz w:val="20"/>
          <w:szCs w:val="20"/>
          <w:color w:val="auto"/>
        </w:rPr>
      </w:pPr>
    </w:p>
    <w:p>
      <w:pPr>
        <w:ind w:left="1220" w:right="140" w:hanging="280"/>
        <w:spacing w:after="0" w:line="368" w:lineRule="auto"/>
        <w:tabs>
          <w:tab w:leader="none" w:pos="1220" w:val="left"/>
        </w:tabs>
        <w:numPr>
          <w:ilvl w:val="0"/>
          <w:numId w:val="5"/>
        </w:numPr>
        <w:rPr>
          <w:rFonts w:ascii="Arial" w:cs="Arial" w:eastAsia="Arial" w:hAnsi="Arial"/>
          <w:sz w:val="17"/>
          <w:szCs w:val="17"/>
          <w:color w:val="009EC7"/>
        </w:rPr>
      </w:pPr>
      <w:r>
        <w:rPr>
          <w:rFonts w:ascii="Arial" w:cs="Arial" w:eastAsia="Arial" w:hAnsi="Arial"/>
          <w:sz w:val="17"/>
          <w:szCs w:val="17"/>
          <w:color w:val="auto"/>
        </w:rPr>
        <w:t>Demand for our DOCSIS 4.0 FDX Distributed Access Architecture (DAA) nodes was strong, with thousands of units shipped. Taking the next step, we shipped our first Unified DOCSIS 4.0 Remote PHY</w:t>
      </w:r>
    </w:p>
    <w:p>
      <w:pPr>
        <w:spacing w:after="0" w:line="1" w:lineRule="exact"/>
        <w:rPr>
          <w:rFonts w:ascii="Arial" w:cs="Arial" w:eastAsia="Arial" w:hAnsi="Arial"/>
          <w:sz w:val="17"/>
          <w:szCs w:val="17"/>
          <w:color w:val="009EC7"/>
        </w:rPr>
      </w:pPr>
    </w:p>
    <w:p>
      <w:pPr>
        <w:ind w:left="1220" w:right="200"/>
        <w:spacing w:after="0" w:line="368" w:lineRule="auto"/>
        <w:rPr>
          <w:rFonts w:ascii="Arial" w:cs="Arial" w:eastAsia="Arial" w:hAnsi="Arial"/>
          <w:sz w:val="17"/>
          <w:szCs w:val="17"/>
          <w:color w:val="009EC7"/>
        </w:rPr>
      </w:pPr>
      <w:r>
        <w:rPr>
          <w:rFonts w:ascii="Arial" w:cs="Arial" w:eastAsia="Arial" w:hAnsi="Arial"/>
          <w:sz w:val="17"/>
          <w:szCs w:val="17"/>
          <w:color w:val="auto"/>
        </w:rPr>
        <w:t>Device (RPD), which supports both 1.8 GHz ESD and 1.2 GHz FDX operation from a single amplifier.</w:t>
      </w:r>
    </w:p>
    <w:p>
      <w:pPr>
        <w:ind w:left="1220" w:right="100"/>
        <w:spacing w:after="0" w:line="375" w:lineRule="auto"/>
        <w:rPr>
          <w:rFonts w:ascii="Arial" w:cs="Arial" w:eastAsia="Arial" w:hAnsi="Arial"/>
          <w:sz w:val="17"/>
          <w:szCs w:val="17"/>
          <w:color w:val="009EC7"/>
        </w:rPr>
      </w:pPr>
      <w:r>
        <w:rPr>
          <w:rFonts w:ascii="Arial" w:cs="Arial" w:eastAsia="Arial" w:hAnsi="Arial"/>
          <w:sz w:val="17"/>
          <w:szCs w:val="17"/>
          <w:color w:val="auto"/>
        </w:rPr>
        <w:t>This innovation enables cable operators to reduce inventory and capital expenses as they decide which DOCSIS 4.0 technology will form the foundation of their next-generation network rebuilds.</w:t>
      </w:r>
    </w:p>
    <w:p>
      <w:pPr>
        <w:spacing w:after="0" w:line="158" w:lineRule="exact"/>
        <w:rPr>
          <w:rFonts w:ascii="Arial" w:cs="Arial" w:eastAsia="Arial" w:hAnsi="Arial"/>
          <w:sz w:val="17"/>
          <w:szCs w:val="17"/>
          <w:color w:val="009EC7"/>
        </w:rPr>
      </w:pPr>
    </w:p>
    <w:p>
      <w:pPr>
        <w:ind w:left="1220" w:right="540" w:hanging="280"/>
        <w:spacing w:after="0" w:line="350" w:lineRule="auto"/>
        <w:tabs>
          <w:tab w:leader="none" w:pos="1220" w:val="left"/>
        </w:tabs>
        <w:numPr>
          <w:ilvl w:val="0"/>
          <w:numId w:val="5"/>
        </w:numPr>
        <w:rPr>
          <w:rFonts w:ascii="Arial" w:cs="Arial" w:eastAsia="Arial" w:hAnsi="Arial"/>
          <w:sz w:val="18"/>
          <w:szCs w:val="18"/>
          <w:color w:val="009EC7"/>
        </w:rPr>
      </w:pPr>
      <w:r>
        <w:rPr>
          <w:rFonts w:ascii="Arial" w:cs="Arial" w:eastAsia="Arial" w:hAnsi="Arial"/>
          <w:sz w:val="18"/>
          <w:szCs w:val="18"/>
          <w:color w:val="auto"/>
        </w:rPr>
        <w:t>Using one of our D4.0 Unified RPDs, we demonstrated a record-breaking downstream speed of 16.25 Gbps at the CableLabs® Technology Interop event last summer.</w:t>
      </w:r>
    </w:p>
    <w:p>
      <w:pPr>
        <w:spacing w:after="0" w:line="172" w:lineRule="exact"/>
        <w:rPr>
          <w:rFonts w:ascii="Arial" w:cs="Arial" w:eastAsia="Arial" w:hAnsi="Arial"/>
          <w:sz w:val="18"/>
          <w:szCs w:val="18"/>
          <w:color w:val="009EC7"/>
        </w:rPr>
      </w:pPr>
    </w:p>
    <w:p>
      <w:pPr>
        <w:ind w:left="1220" w:hanging="280"/>
        <w:spacing w:after="0" w:line="368" w:lineRule="auto"/>
        <w:tabs>
          <w:tab w:leader="none" w:pos="1220" w:val="left"/>
        </w:tabs>
        <w:numPr>
          <w:ilvl w:val="0"/>
          <w:numId w:val="5"/>
        </w:numPr>
        <w:rPr>
          <w:rFonts w:ascii="Arial" w:cs="Arial" w:eastAsia="Arial" w:hAnsi="Arial"/>
          <w:sz w:val="17"/>
          <w:szCs w:val="17"/>
          <w:color w:val="009EC7"/>
        </w:rPr>
      </w:pPr>
      <w:r>
        <w:rPr>
          <w:rFonts w:ascii="Arial" w:cs="Arial" w:eastAsia="Arial" w:hAnsi="Arial"/>
          <w:sz w:val="17"/>
          <w:szCs w:val="17"/>
          <w:color w:val="auto"/>
        </w:rPr>
        <w:t>We expanded our DOCSIS 4.0 amplifier portfolio to include a new line of Flex Max® 1.8 GHz ESD amplifiers. Additionally, we introduced the XPR180 smart amplifier transponder, compatible with all our ESD amplifiers, enabling remote amplifier management and providing rich performance data, significantly improving network performance and reducing operating expenses for Multiple Service Operators (MSO). These products enabled us to retain our position as the global leader in RF amplifier sales, with multiple million units shipped over the past</w:t>
      </w:r>
    </w:p>
    <w:p>
      <w:pPr>
        <w:spacing w:after="0" w:line="3" w:lineRule="exact"/>
        <w:rPr>
          <w:rFonts w:ascii="Arial" w:cs="Arial" w:eastAsia="Arial" w:hAnsi="Arial"/>
          <w:sz w:val="17"/>
          <w:szCs w:val="17"/>
          <w:color w:val="009EC7"/>
        </w:rPr>
      </w:pPr>
    </w:p>
    <w:p>
      <w:pPr>
        <w:ind w:left="1220" w:right="180"/>
        <w:spacing w:after="0" w:line="389" w:lineRule="auto"/>
        <w:rPr>
          <w:rFonts w:ascii="Arial" w:cs="Arial" w:eastAsia="Arial" w:hAnsi="Arial"/>
          <w:sz w:val="17"/>
          <w:szCs w:val="17"/>
          <w:color w:val="009EC7"/>
        </w:rPr>
      </w:pPr>
      <w:r>
        <w:rPr>
          <w:rFonts w:ascii="Arial" w:cs="Arial" w:eastAsia="Arial" w:hAnsi="Arial"/>
          <w:sz w:val="17"/>
          <w:szCs w:val="17"/>
          <w:color w:val="auto"/>
        </w:rPr>
        <w:t>30 years, and a significant number shipped in 2025 alone, from our in-house manufacturing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280" w:right="80" w:hanging="280"/>
        <w:spacing w:after="0" w:line="368" w:lineRule="auto"/>
        <w:tabs>
          <w:tab w:leader="none" w:pos="280" w:val="left"/>
        </w:tabs>
        <w:numPr>
          <w:ilvl w:val="0"/>
          <w:numId w:val="6"/>
        </w:numPr>
        <w:rPr>
          <w:rFonts w:ascii="Arial" w:cs="Arial" w:eastAsia="Arial" w:hAnsi="Arial"/>
          <w:sz w:val="17"/>
          <w:szCs w:val="17"/>
          <w:color w:val="009EC7"/>
        </w:rPr>
      </w:pPr>
      <w:r>
        <w:rPr>
          <w:rFonts w:ascii="Arial" w:cs="Arial" w:eastAsia="Arial" w:hAnsi="Arial"/>
          <w:sz w:val="17"/>
          <w:szCs w:val="17"/>
          <w:color w:val="auto"/>
        </w:rPr>
        <w:t>We shipped a record number of Remote MAC-PHY Devices (RMDs) this year, as customers discovered the simplicity of deployment and management</w:t>
      </w:r>
    </w:p>
    <w:p>
      <w:pPr>
        <w:spacing w:after="0" w:line="1" w:lineRule="exact"/>
        <w:rPr>
          <w:rFonts w:ascii="Arial" w:cs="Arial" w:eastAsia="Arial" w:hAnsi="Arial"/>
          <w:sz w:val="17"/>
          <w:szCs w:val="17"/>
          <w:color w:val="009EC7"/>
        </w:rPr>
      </w:pPr>
    </w:p>
    <w:p>
      <w:pPr>
        <w:ind w:left="280"/>
        <w:spacing w:after="0"/>
        <w:rPr>
          <w:rFonts w:ascii="Arial" w:cs="Arial" w:eastAsia="Arial" w:hAnsi="Arial"/>
          <w:sz w:val="17"/>
          <w:szCs w:val="17"/>
          <w:color w:val="009EC7"/>
        </w:rPr>
      </w:pPr>
      <w:r>
        <w:rPr>
          <w:rFonts w:ascii="Arial" w:cs="Arial" w:eastAsia="Arial" w:hAnsi="Arial"/>
          <w:sz w:val="18"/>
          <w:szCs w:val="18"/>
          <w:color w:val="auto"/>
        </w:rPr>
        <w:t>of this solution for multi-gigabit services.</w:t>
      </w:r>
    </w:p>
    <w:p>
      <w:pPr>
        <w:spacing w:after="0" w:line="273" w:lineRule="exact"/>
        <w:rPr>
          <w:rFonts w:ascii="Arial" w:cs="Arial" w:eastAsia="Arial" w:hAnsi="Arial"/>
          <w:sz w:val="17"/>
          <w:szCs w:val="17"/>
          <w:color w:val="009EC7"/>
        </w:rPr>
      </w:pPr>
    </w:p>
    <w:p>
      <w:pPr>
        <w:ind w:left="280" w:right="260" w:hanging="280"/>
        <w:spacing w:after="0" w:line="368" w:lineRule="auto"/>
        <w:tabs>
          <w:tab w:leader="none" w:pos="280" w:val="left"/>
        </w:tabs>
        <w:numPr>
          <w:ilvl w:val="0"/>
          <w:numId w:val="6"/>
        </w:numPr>
        <w:rPr>
          <w:rFonts w:ascii="Arial" w:cs="Arial" w:eastAsia="Arial" w:hAnsi="Arial"/>
          <w:sz w:val="17"/>
          <w:szCs w:val="17"/>
          <w:color w:val="009EC7"/>
        </w:rPr>
      </w:pPr>
      <w:r>
        <w:rPr>
          <w:rFonts w:ascii="Arial" w:cs="Arial" w:eastAsia="Arial" w:hAnsi="Arial"/>
          <w:sz w:val="17"/>
          <w:szCs w:val="17"/>
          <w:color w:val="auto"/>
        </w:rPr>
        <w:t>We provide both decentralized and centralized AI intelligence solutions. Our smart amplifiers and</w:t>
      </w:r>
    </w:p>
    <w:p>
      <w:pPr>
        <w:ind w:left="280" w:right="120"/>
        <w:spacing w:after="0" w:line="373" w:lineRule="auto"/>
        <w:rPr>
          <w:rFonts w:ascii="Arial" w:cs="Arial" w:eastAsia="Arial" w:hAnsi="Arial"/>
          <w:sz w:val="17"/>
          <w:szCs w:val="17"/>
          <w:color w:val="009EC7"/>
        </w:rPr>
      </w:pPr>
      <w:r>
        <w:rPr>
          <w:rFonts w:ascii="Arial" w:cs="Arial" w:eastAsia="Arial" w:hAnsi="Arial"/>
          <w:sz w:val="17"/>
          <w:szCs w:val="17"/>
          <w:color w:val="auto"/>
        </w:rPr>
        <w:t>DAA nodes, for example, leverage a decentralized, embedded neural engine that enables companies to run AI models at the edge of their networks. Our ServAssure NXT platform provides centralized AI capabilities at the headend.</w:t>
      </w:r>
    </w:p>
    <w:p>
      <w:pPr>
        <w:spacing w:after="0" w:line="161" w:lineRule="exact"/>
        <w:rPr>
          <w:rFonts w:ascii="Arial" w:cs="Arial" w:eastAsia="Arial" w:hAnsi="Arial"/>
          <w:sz w:val="17"/>
          <w:szCs w:val="17"/>
          <w:color w:val="009EC7"/>
        </w:rPr>
      </w:pPr>
    </w:p>
    <w:p>
      <w:pPr>
        <w:ind w:left="280" w:hanging="280"/>
        <w:spacing w:after="0"/>
        <w:tabs>
          <w:tab w:leader="none" w:pos="280" w:val="left"/>
        </w:tabs>
        <w:numPr>
          <w:ilvl w:val="0"/>
          <w:numId w:val="6"/>
        </w:numPr>
        <w:rPr>
          <w:rFonts w:ascii="Arial" w:cs="Arial" w:eastAsia="Arial" w:hAnsi="Arial"/>
          <w:sz w:val="18"/>
          <w:szCs w:val="18"/>
          <w:color w:val="009EC7"/>
        </w:rPr>
      </w:pPr>
      <w:r>
        <w:rPr>
          <w:rFonts w:ascii="Arial" w:cs="Arial" w:eastAsia="Arial" w:hAnsi="Arial"/>
          <w:sz w:val="18"/>
          <w:szCs w:val="18"/>
          <w:color w:val="auto"/>
        </w:rPr>
        <w:t>Liberty Global, along with several other</w:t>
      </w:r>
    </w:p>
    <w:p>
      <w:pPr>
        <w:spacing w:after="0" w:line="93" w:lineRule="exact"/>
        <w:rPr>
          <w:rFonts w:ascii="Arial" w:cs="Arial" w:eastAsia="Arial" w:hAnsi="Arial"/>
          <w:sz w:val="18"/>
          <w:szCs w:val="18"/>
          <w:color w:val="009EC7"/>
        </w:rPr>
      </w:pPr>
    </w:p>
    <w:p>
      <w:pPr>
        <w:ind w:left="280" w:right="460"/>
        <w:spacing w:after="0" w:line="368" w:lineRule="auto"/>
        <w:rPr>
          <w:rFonts w:ascii="Arial" w:cs="Arial" w:eastAsia="Arial" w:hAnsi="Arial"/>
          <w:sz w:val="18"/>
          <w:szCs w:val="18"/>
          <w:color w:val="009EC7"/>
        </w:rPr>
      </w:pPr>
      <w:r>
        <w:rPr>
          <w:rFonts w:ascii="Arial" w:cs="Arial" w:eastAsia="Arial" w:hAnsi="Arial"/>
          <w:sz w:val="17"/>
          <w:szCs w:val="17"/>
          <w:color w:val="auto"/>
        </w:rPr>
        <w:t>European service providers, committed to our vCCAP Evo™ virtualized CCCAP platform and</w:t>
      </w:r>
    </w:p>
    <w:p>
      <w:pPr>
        <w:ind w:left="280" w:right="300"/>
        <w:spacing w:after="0" w:line="389" w:lineRule="auto"/>
        <w:rPr>
          <w:rFonts w:ascii="Arial" w:cs="Arial" w:eastAsia="Arial" w:hAnsi="Arial"/>
          <w:sz w:val="18"/>
          <w:szCs w:val="18"/>
          <w:color w:val="009EC7"/>
        </w:rPr>
      </w:pPr>
      <w:r>
        <w:rPr>
          <w:rFonts w:ascii="Arial" w:cs="Arial" w:eastAsia="Arial" w:hAnsi="Arial"/>
          <w:sz w:val="17"/>
          <w:szCs w:val="17"/>
          <w:color w:val="auto"/>
        </w:rPr>
        <w:t>Unified RPDs. These products are the foundation of their next-generation network rebuilds.</w:t>
      </w:r>
    </w:p>
    <w:p>
      <w:pPr>
        <w:spacing w:after="0" w:line="146" w:lineRule="exact"/>
        <w:rPr>
          <w:rFonts w:ascii="Arial" w:cs="Arial" w:eastAsia="Arial" w:hAnsi="Arial"/>
          <w:sz w:val="18"/>
          <w:szCs w:val="18"/>
          <w:color w:val="009EC7"/>
        </w:rPr>
      </w:pPr>
    </w:p>
    <w:p>
      <w:pPr>
        <w:ind w:left="280" w:right="200" w:hanging="280"/>
        <w:spacing w:after="0" w:line="378" w:lineRule="auto"/>
        <w:tabs>
          <w:tab w:leader="none" w:pos="280" w:val="left"/>
        </w:tabs>
        <w:numPr>
          <w:ilvl w:val="0"/>
          <w:numId w:val="6"/>
        </w:numPr>
        <w:rPr>
          <w:rFonts w:ascii="Arial" w:cs="Arial" w:eastAsia="Arial" w:hAnsi="Arial"/>
          <w:sz w:val="17"/>
          <w:szCs w:val="17"/>
          <w:color w:val="009EC7"/>
        </w:rPr>
      </w:pPr>
      <w:r>
        <w:rPr>
          <w:rFonts w:ascii="Arial" w:cs="Arial" w:eastAsia="Arial" w:hAnsi="Arial"/>
          <w:sz w:val="17"/>
          <w:szCs w:val="17"/>
          <w:color w:val="auto"/>
        </w:rPr>
        <w:t>A North American tier-1 MSO deployed 4,000 XGS-PON ports, enabling the MSO to provide symmetrical, multi-gigabit services to subscribers.</w:t>
      </w:r>
    </w:p>
    <w:p>
      <w:pPr>
        <w:spacing w:after="0" w:line="156" w:lineRule="exact"/>
        <w:rPr>
          <w:rFonts w:ascii="Arial" w:cs="Arial" w:eastAsia="Arial" w:hAnsi="Arial"/>
          <w:sz w:val="17"/>
          <w:szCs w:val="17"/>
          <w:color w:val="009EC7"/>
        </w:rPr>
      </w:pPr>
    </w:p>
    <w:p>
      <w:pPr>
        <w:ind w:left="280" w:right="720" w:hanging="280"/>
        <w:spacing w:after="0" w:line="368" w:lineRule="auto"/>
        <w:tabs>
          <w:tab w:leader="none" w:pos="280" w:val="left"/>
        </w:tabs>
        <w:numPr>
          <w:ilvl w:val="0"/>
          <w:numId w:val="6"/>
        </w:numPr>
        <w:rPr>
          <w:rFonts w:ascii="Arial" w:cs="Arial" w:eastAsia="Arial" w:hAnsi="Arial"/>
          <w:sz w:val="17"/>
          <w:szCs w:val="17"/>
          <w:color w:val="009EC7"/>
        </w:rPr>
      </w:pPr>
      <w:r>
        <w:rPr>
          <w:rFonts w:ascii="Arial" w:cs="Arial" w:eastAsia="Arial" w:hAnsi="Arial"/>
          <w:sz w:val="17"/>
          <w:szCs w:val="17"/>
          <w:color w:val="auto"/>
        </w:rPr>
        <w:t>Guy Sucharczuk, Senior Vice President and President of Aurora, was inducted into the</w:t>
      </w:r>
    </w:p>
    <w:p>
      <w:pPr>
        <w:jc w:val="both"/>
        <w:ind w:left="280" w:right="500"/>
        <w:spacing w:after="0" w:line="378" w:lineRule="auto"/>
        <w:rPr>
          <w:rFonts w:ascii="Arial" w:cs="Arial" w:eastAsia="Arial" w:hAnsi="Arial"/>
          <w:sz w:val="17"/>
          <w:szCs w:val="17"/>
          <w:color w:val="009EC7"/>
        </w:rPr>
      </w:pPr>
      <w:r>
        <w:rPr>
          <w:rFonts w:ascii="Arial" w:cs="Arial" w:eastAsia="Arial" w:hAnsi="Arial"/>
          <w:sz w:val="17"/>
          <w:szCs w:val="17"/>
          <w:color w:val="auto"/>
        </w:rPr>
        <w:t>Cable Pioneers class of 2025. Guy’s induction recognized the significant contributions he has made to the Cable Industry during his career.</w:t>
      </w:r>
    </w:p>
    <w:p>
      <w:pPr>
        <w:spacing w:after="0" w:line="748" w:lineRule="exact"/>
        <w:rPr>
          <w:sz w:val="20"/>
          <w:szCs w:val="20"/>
          <w:color w:val="auto"/>
        </w:rPr>
      </w:pPr>
    </w:p>
    <w:p>
      <w:pPr>
        <w:sectPr>
          <w:pgSz w:w="11880" w:h="15480" w:orient="portrait"/>
          <w:cols w:equalWidth="0" w:num="2">
            <w:col w:w="5420" w:space="380"/>
            <w:col w:w="4420"/>
          </w:cols>
          <w:pgMar w:left="500" w:top="757"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596265</wp:posOffset>
                </wp:positionH>
                <wp:positionV relativeFrom="paragraph">
                  <wp:posOffset>-67310</wp:posOffset>
                </wp:positionV>
                <wp:extent cx="663003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0035" cy="4763"/>
                        </a:xfrm>
                        <a:prstGeom prst="line">
                          <a:avLst/>
                        </a:prstGeom>
                        <a:solidFill>
                          <a:srgbClr val="FFFFFF"/>
                        </a:solidFill>
                        <a:ln w="12293">
                          <a:solidFill>
                            <a:srgbClr val="CCCCCC"/>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5pt,-5.2999pt" to="569pt,-5.2999pt" o:allowincell="f" strokecolor="#CCCCCC" strokeweight="0.968pt"/>
            </w:pict>
          </mc:Fallback>
        </mc:AlternateContent>
      </w:r>
    </w:p>
    <w:p>
      <w:pPr>
        <w:sectPr>
          <w:pgSz w:w="11880" w:h="15480" w:orient="portrait"/>
          <w:cols w:equalWidth="0" w:num="1">
            <w:col w:w="10220"/>
          </w:cols>
          <w:pgMar w:left="500" w:top="757" w:right="1160" w:bottom="0" w:gutter="0" w:footer="0" w:header="0"/>
          <w:type w:val="continuous"/>
        </w:sectPr>
      </w:pPr>
    </w:p>
    <w:bookmarkStart w:id="6" w:name="page7"/>
    <w:bookmarkEnd w:id="6"/>
    <w:p>
      <w:pPr>
        <w:spacing w:after="0"/>
        <w:rPr>
          <w:sz w:val="20"/>
          <w:szCs w:val="20"/>
          <w:color w:val="auto"/>
        </w:rPr>
      </w:pPr>
      <w:r>
        <w:rPr>
          <w:rFonts w:ascii="Arial" w:cs="Arial" w:eastAsia="Arial" w:hAnsi="Arial"/>
          <w:sz w:val="28"/>
          <w:szCs w:val="28"/>
          <w:color w:val="auto"/>
        </w:rPr>
        <w:t>RUCKUS Networks:</w:t>
      </w:r>
    </w:p>
    <w:p>
      <w:pPr>
        <w:spacing w:after="0" w:line="372" w:lineRule="exact"/>
        <w:rPr>
          <w:sz w:val="20"/>
          <w:szCs w:val="20"/>
          <w:color w:val="auto"/>
        </w:rPr>
      </w:pPr>
    </w:p>
    <w:p>
      <w:pPr>
        <w:ind w:left="280" w:right="560" w:hanging="280"/>
        <w:spacing w:after="0" w:line="368" w:lineRule="auto"/>
        <w:tabs>
          <w:tab w:leader="none" w:pos="280" w:val="left"/>
        </w:tabs>
        <w:numPr>
          <w:ilvl w:val="0"/>
          <w:numId w:val="7"/>
        </w:numPr>
        <w:rPr>
          <w:rFonts w:ascii="Arial" w:cs="Arial" w:eastAsia="Arial" w:hAnsi="Arial"/>
          <w:sz w:val="17"/>
          <w:szCs w:val="17"/>
          <w:color w:val="009EC7"/>
        </w:rPr>
      </w:pPr>
      <w:r>
        <w:rPr>
          <w:rFonts w:ascii="Arial" w:cs="Arial" w:eastAsia="Arial" w:hAnsi="Arial"/>
          <w:sz w:val="17"/>
          <w:szCs w:val="17"/>
          <w:color w:val="auto"/>
        </w:rPr>
        <w:t>Subscription-based revenue from RUCKUS One has seen strong year-over-year growth, driven by increasing adoption of cloud-native AI-driven network management across enterprise and property portfolios. The launch of the RUCKUS MDU 360 suite delivers analytics, predictive insights and a unified network and resident experience view for</w:t>
      </w:r>
    </w:p>
    <w:p>
      <w:pPr>
        <w:spacing w:after="0" w:line="2" w:lineRule="exact"/>
        <w:rPr>
          <w:rFonts w:ascii="Arial" w:cs="Arial" w:eastAsia="Arial" w:hAnsi="Arial"/>
          <w:sz w:val="17"/>
          <w:szCs w:val="17"/>
          <w:color w:val="009EC7"/>
        </w:rPr>
      </w:pPr>
    </w:p>
    <w:p>
      <w:pPr>
        <w:ind w:left="280"/>
        <w:spacing w:after="0"/>
        <w:rPr>
          <w:rFonts w:ascii="Arial" w:cs="Arial" w:eastAsia="Arial" w:hAnsi="Arial"/>
          <w:sz w:val="17"/>
          <w:szCs w:val="17"/>
          <w:color w:val="009EC7"/>
        </w:rPr>
      </w:pPr>
      <w:r>
        <w:rPr>
          <w:rFonts w:ascii="Arial" w:cs="Arial" w:eastAsia="Arial" w:hAnsi="Arial"/>
          <w:sz w:val="18"/>
          <w:szCs w:val="18"/>
          <w:color w:val="auto"/>
        </w:rPr>
        <w:t>Managed Service Providers (MSP) and property owners.</w:t>
      </w:r>
    </w:p>
    <w:p>
      <w:pPr>
        <w:spacing w:after="0" w:line="273" w:lineRule="exact"/>
        <w:rPr>
          <w:rFonts w:ascii="Arial" w:cs="Arial" w:eastAsia="Arial" w:hAnsi="Arial"/>
          <w:sz w:val="17"/>
          <w:szCs w:val="17"/>
          <w:color w:val="009EC7"/>
        </w:rPr>
      </w:pPr>
    </w:p>
    <w:p>
      <w:pPr>
        <w:ind w:left="280" w:right="280" w:hanging="280"/>
        <w:spacing w:after="0" w:line="368" w:lineRule="auto"/>
        <w:tabs>
          <w:tab w:leader="none" w:pos="280" w:val="left"/>
        </w:tabs>
        <w:numPr>
          <w:ilvl w:val="0"/>
          <w:numId w:val="7"/>
        </w:numPr>
        <w:rPr>
          <w:rFonts w:ascii="Arial" w:cs="Arial" w:eastAsia="Arial" w:hAnsi="Arial"/>
          <w:sz w:val="17"/>
          <w:szCs w:val="17"/>
          <w:color w:val="009EC7"/>
        </w:rPr>
      </w:pPr>
      <w:r>
        <w:rPr>
          <w:rFonts w:ascii="Arial" w:cs="Arial" w:eastAsia="Arial" w:hAnsi="Arial"/>
          <w:sz w:val="17"/>
          <w:szCs w:val="17"/>
          <w:color w:val="auto"/>
        </w:rPr>
        <w:t>The expansion of the Wi Fi 7 &amp; ICX Portfolio included the release of the H670 Wall-Mounted Wi Fi 7 AP, a triband AP supporting</w:t>
      </w:r>
    </w:p>
    <w:p>
      <w:pPr>
        <w:ind w:left="280" w:right="240"/>
        <w:spacing w:after="0" w:line="348" w:lineRule="auto"/>
        <w:rPr>
          <w:rFonts w:ascii="Arial" w:cs="Arial" w:eastAsia="Arial" w:hAnsi="Arial"/>
          <w:sz w:val="17"/>
          <w:szCs w:val="17"/>
          <w:color w:val="009EC7"/>
        </w:rPr>
      </w:pPr>
      <w:r>
        <w:rPr>
          <w:rFonts w:ascii="Arial" w:cs="Arial" w:eastAsia="Arial" w:hAnsi="Arial"/>
          <w:sz w:val="18"/>
          <w:szCs w:val="18"/>
          <w:color w:val="auto"/>
        </w:rPr>
        <w:t>9.34 Gbps and featuring dual multi gigabit PoE and built in BLE/ Zigbee/Thread for IoT integration—ideal for hospitality, multi-dwelling units, and meeting rooms; the R370 Dual-Band Value AP, a dual-band Wi Fi 7 AP delivering 3.57 Gbps and 2.5 Gbps ethernet backhaul, designed for mid-scale hotels, branch offices, and small businesses; the ICX 8100 Switch for Wi Fi 7 Bundles, a turnkey hospitality bundle designed for limited-service hotels; and Brand 360 insights, an enhanced Generative AI onboarding assistant via RUCKUS One Hospitality Edition.</w:t>
      </w:r>
    </w:p>
    <w:p>
      <w:pPr>
        <w:spacing w:after="0" w:line="179" w:lineRule="exact"/>
        <w:rPr>
          <w:rFonts w:ascii="Arial" w:cs="Arial" w:eastAsia="Arial" w:hAnsi="Arial"/>
          <w:sz w:val="17"/>
          <w:szCs w:val="17"/>
          <w:color w:val="009EC7"/>
        </w:rPr>
      </w:pPr>
    </w:p>
    <w:p>
      <w:pPr>
        <w:ind w:left="280" w:hanging="280"/>
        <w:spacing w:after="0" w:line="348" w:lineRule="auto"/>
        <w:tabs>
          <w:tab w:leader="none" w:pos="280" w:val="left"/>
        </w:tabs>
        <w:numPr>
          <w:ilvl w:val="0"/>
          <w:numId w:val="7"/>
        </w:numPr>
        <w:rPr>
          <w:rFonts w:ascii="Arial" w:cs="Arial" w:eastAsia="Arial" w:hAnsi="Arial"/>
          <w:sz w:val="18"/>
          <w:szCs w:val="18"/>
          <w:color w:val="009EC7"/>
        </w:rPr>
      </w:pPr>
      <w:r>
        <w:rPr>
          <w:rFonts w:ascii="Arial" w:cs="Arial" w:eastAsia="Arial" w:hAnsi="Arial"/>
          <w:sz w:val="18"/>
          <w:szCs w:val="18"/>
          <w:color w:val="auto"/>
        </w:rPr>
        <w:t>RUCKUS completed several landmark deployments across multiple sectors including the University of Akron’s modernization of its 218-acre campus network leveraging the full RUCKUS portfolio, Mahou San Miguel’s (Spain’s largest brewery) digital transformation, delivering connectivity and proactive network management and optimization to support autonomous vehicles in a challenging RF environment and Kirloskar Management Services, one of India’s largest engineering companies, delivering a high-performance wireless solution across multiple facilities and providing a 20% boost in productivity, enhanced security and a scalable infrastructure to support future expansion and IoT integration.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right="980" w:hanging="280"/>
        <w:spacing w:after="0" w:line="368" w:lineRule="auto"/>
        <w:tabs>
          <w:tab w:leader="none" w:pos="280" w:val="left"/>
        </w:tabs>
        <w:numPr>
          <w:ilvl w:val="0"/>
          <w:numId w:val="8"/>
        </w:numPr>
        <w:rPr>
          <w:rFonts w:ascii="Arial" w:cs="Arial" w:eastAsia="Arial" w:hAnsi="Arial"/>
          <w:sz w:val="17"/>
          <w:szCs w:val="17"/>
          <w:color w:val="009EC7"/>
        </w:rPr>
      </w:pPr>
      <w:r>
        <w:rPr>
          <w:rFonts w:ascii="Arial" w:cs="Arial" w:eastAsia="Arial" w:hAnsi="Arial"/>
          <w:sz w:val="17"/>
          <w:szCs w:val="17"/>
          <w:color w:val="auto"/>
        </w:rPr>
        <w:t>In 2025, we started our partnership with the TGR Haas F1 team and recently announced that RUCKUS will be the official networking partner of the TGR Haas F1 team. RUCKUS will provide its purpose-driven network solutions to the TGR Haas</w:t>
      </w:r>
    </w:p>
    <w:p>
      <w:pPr>
        <w:spacing w:after="0" w:line="2" w:lineRule="exact"/>
        <w:rPr>
          <w:rFonts w:ascii="Arial" w:cs="Arial" w:eastAsia="Arial" w:hAnsi="Arial"/>
          <w:sz w:val="17"/>
          <w:szCs w:val="17"/>
          <w:color w:val="009EC7"/>
        </w:rPr>
      </w:pPr>
    </w:p>
    <w:p>
      <w:pPr>
        <w:ind w:left="280" w:right="960"/>
        <w:spacing w:after="0" w:line="348" w:lineRule="auto"/>
        <w:rPr>
          <w:rFonts w:ascii="Arial" w:cs="Arial" w:eastAsia="Arial" w:hAnsi="Arial"/>
          <w:sz w:val="17"/>
          <w:szCs w:val="17"/>
          <w:color w:val="009EC7"/>
        </w:rPr>
      </w:pPr>
      <w:r>
        <w:rPr>
          <w:rFonts w:ascii="Arial" w:cs="Arial" w:eastAsia="Arial" w:hAnsi="Arial"/>
          <w:sz w:val="18"/>
          <w:szCs w:val="18"/>
          <w:color w:val="auto"/>
        </w:rPr>
        <w:t>F1 team, delivering cutting-edge connectivity across its factories in Kannapolis, North Carolina and Banbury, United Kingdom, and at its Headquarters, in Maranello, Italy. RUCKUS will be trusted to power critical race day network operations to meet the demands of the pinnacle of motorsport, enabling the team to deploy an advanced engineering solution with our versatile, high-performance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952500</wp:posOffset>
            </wp:positionV>
            <wp:extent cx="4232275" cy="392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4232275" cy="3921125"/>
                    </a:xfrm>
                    <a:prstGeom prst="rect">
                      <a:avLst/>
                    </a:prstGeom>
                    <a:noFill/>
                  </pic:spPr>
                </pic:pic>
              </a:graphicData>
            </a:graphic>
          </wp:anchor>
        </w:drawing>
      </w:r>
    </w:p>
    <w:p>
      <w:pPr>
        <w:spacing w:after="0" w:line="3558" w:lineRule="exact"/>
        <w:rPr>
          <w:sz w:val="20"/>
          <w:szCs w:val="20"/>
          <w:color w:val="auto"/>
        </w:rPr>
      </w:pPr>
    </w:p>
    <w:p>
      <w:pPr>
        <w:sectPr>
          <w:pgSz w:w="11880" w:h="15480" w:orient="portrait"/>
          <w:cols w:equalWidth="0" w:num="2">
            <w:col w:w="5680" w:space="440"/>
            <w:col w:w="4180"/>
          </w:cols>
          <w:pgMar w:left="1080" w:top="757"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760"/>
        <w:spacing w:after="0"/>
        <w:tabs>
          <w:tab w:leader="none" w:pos="10200" w:val="left"/>
        </w:tabs>
        <w:rPr>
          <w:sz w:val="20"/>
          <w:szCs w:val="20"/>
          <w:color w:val="auto"/>
        </w:rPr>
      </w:pPr>
      <w:r>
        <w:rPr>
          <w:rFonts w:ascii="Arial" w:cs="Arial" w:eastAsia="Arial" w:hAnsi="Arial"/>
          <w:sz w:val="18"/>
          <w:szCs w:val="18"/>
          <w:color w:val="auto"/>
        </w:rPr>
        <w:t>2025 Annual Report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-67945</wp:posOffset>
                </wp:positionV>
                <wp:extent cx="529399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3995" cy="4763"/>
                        </a:xfrm>
                        <a:prstGeom prst="line">
                          <a:avLst/>
                        </a:prstGeom>
                        <a:solidFill>
                          <a:srgbClr val="FFFFFF"/>
                        </a:solidFill>
                        <a:ln w="14693">
                          <a:solidFill>
                            <a:srgbClr val="CCCCCC"/>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5.3499pt" to="362.85pt,-5.3499pt" o:allowincell="f" strokecolor="#CCCCCC" strokeweight="1.1569pt"/>
            </w:pict>
          </mc:Fallback>
        </mc:AlternateContent>
      </w:r>
    </w:p>
    <w:p>
      <w:pPr>
        <w:sectPr>
          <w:pgSz w:w="11880" w:h="15480" w:orient="portrait"/>
          <w:cols w:equalWidth="0" w:num="1">
            <w:col w:w="10300"/>
          </w:cols>
          <w:pgMar w:left="1080" w:top="757" w:right="500" w:bottom="0" w:gutter="0" w:footer="0" w:header="0"/>
          <w:type w:val="continuous"/>
        </w:sectPr>
      </w:pPr>
    </w:p>
    <w:bookmarkStart w:id="7" w:name="page8"/>
    <w:bookmarkEnd w:id="7"/>
    <w:p>
      <w:pPr>
        <w:ind w:left="940"/>
        <w:spacing w:after="0"/>
        <w:rPr>
          <w:sz w:val="20"/>
          <w:szCs w:val="20"/>
          <w:color w:val="auto"/>
        </w:rPr>
      </w:pPr>
      <w:r>
        <w:rPr>
          <w:rFonts w:ascii="Arial" w:cs="Arial" w:eastAsia="Arial" w:hAnsi="Arial"/>
          <w:sz w:val="30"/>
          <w:szCs w:val="30"/>
          <w:color w:val="auto"/>
        </w:rPr>
        <w:t>Reconciliation of GAAP measures to non-GAAP adjusted measures</w:t>
      </w:r>
    </w:p>
    <w:p>
      <w:pPr>
        <w:spacing w:after="0" w:line="359" w:lineRule="exact"/>
        <w:rPr>
          <w:sz w:val="20"/>
          <w:szCs w:val="20"/>
          <w:color w:val="auto"/>
        </w:rPr>
      </w:pPr>
    </w:p>
    <w:p>
      <w:pPr>
        <w:ind w:left="940"/>
        <w:spacing w:after="0"/>
        <w:tabs>
          <w:tab w:leader="none" w:pos="7540" w:val="left"/>
        </w:tabs>
        <w:rPr>
          <w:sz w:val="20"/>
          <w:szCs w:val="20"/>
          <w:color w:val="auto"/>
        </w:rPr>
      </w:pPr>
      <w:r>
        <w:rPr>
          <w:rFonts w:ascii="Arial" w:cs="Arial" w:eastAsia="Arial" w:hAnsi="Arial"/>
          <w:sz w:val="16"/>
          <w:szCs w:val="16"/>
          <w:color w:val="auto"/>
        </w:rPr>
        <w:t>(Unaudited—in millions, except per share amounts)</w:t>
      </w:r>
      <w:r>
        <w:rPr>
          <w:sz w:val="20"/>
          <w:szCs w:val="20"/>
          <w:color w:val="auto"/>
        </w:rPr>
        <w:tab/>
      </w:r>
      <w:r>
        <w:rPr>
          <w:rFonts w:ascii="Arial" w:cs="Arial" w:eastAsia="Arial" w:hAnsi="Arial"/>
          <w:sz w:val="15"/>
          <w:szCs w:val="15"/>
          <w:color w:val="auto"/>
        </w:rPr>
        <w:t>Year Ended December 31</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260"/>
        </w:trPr>
        <w:tc>
          <w:tcPr>
            <w:tcW w:w="5540" w:type="dxa"/>
            <w:vAlign w:val="bottom"/>
          </w:tcPr>
          <w:p>
            <w:pPr>
              <w:spacing w:after="0"/>
              <w:rPr>
                <w:sz w:val="20"/>
                <w:szCs w:val="20"/>
                <w:color w:val="auto"/>
              </w:rPr>
            </w:pPr>
            <w:r>
              <w:rPr>
                <w:rFonts w:ascii="Arial" w:cs="Arial" w:eastAsia="Arial" w:hAnsi="Arial"/>
                <w:sz w:val="22"/>
                <w:szCs w:val="22"/>
                <w:color w:val="auto"/>
              </w:rPr>
              <w:t>Reconciliation of adjusted EBITDA</w:t>
            </w:r>
          </w:p>
        </w:tc>
        <w:tc>
          <w:tcPr>
            <w:tcW w:w="640" w:type="dxa"/>
            <w:vAlign w:val="bottom"/>
          </w:tcPr>
          <w:p>
            <w:pPr>
              <w:jc w:val="right"/>
              <w:spacing w:after="0"/>
              <w:rPr>
                <w:sz w:val="20"/>
                <w:szCs w:val="20"/>
                <w:color w:val="auto"/>
              </w:rPr>
            </w:pPr>
            <w:r>
              <w:rPr>
                <w:rFonts w:ascii="Arial" w:cs="Arial" w:eastAsia="Arial" w:hAnsi="Arial"/>
                <w:sz w:val="22"/>
                <w:szCs w:val="22"/>
                <w:color w:val="auto"/>
              </w:rPr>
              <w:t>2023</w:t>
            </w:r>
          </w:p>
        </w:tc>
        <w:tc>
          <w:tcPr>
            <w:tcW w:w="9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2024</w:t>
            </w:r>
          </w:p>
        </w:tc>
        <w:tc>
          <w:tcPr>
            <w:tcW w:w="9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2025</w:t>
            </w:r>
          </w:p>
        </w:tc>
        <w:tc>
          <w:tcPr>
            <w:tcW w:w="0" w:type="dxa"/>
            <w:vAlign w:val="bottom"/>
          </w:tcPr>
          <w:p>
            <w:pPr>
              <w:spacing w:after="0"/>
              <w:rPr>
                <w:sz w:val="1"/>
                <w:szCs w:val="1"/>
                <w:color w:val="auto"/>
              </w:rPr>
            </w:pPr>
          </w:p>
        </w:tc>
      </w:tr>
      <w:tr>
        <w:trPr>
          <w:trHeight w:val="276"/>
        </w:trPr>
        <w:tc>
          <w:tcPr>
            <w:tcW w:w="5540" w:type="dxa"/>
            <w:vAlign w:val="bottom"/>
          </w:tcPr>
          <w:p>
            <w:pPr>
              <w:ind w:left="20"/>
              <w:spacing w:after="0"/>
              <w:rPr>
                <w:sz w:val="20"/>
                <w:szCs w:val="20"/>
                <w:color w:val="auto"/>
              </w:rPr>
            </w:pPr>
            <w:r>
              <w:rPr>
                <w:rFonts w:ascii="Arial" w:cs="Arial" w:eastAsia="Arial" w:hAnsi="Arial"/>
                <w:sz w:val="16"/>
                <w:szCs w:val="16"/>
                <w:color w:val="auto"/>
              </w:rPr>
              <w:t>Income (loss) from continuing operations, as reported</w:t>
            </w:r>
          </w:p>
        </w:tc>
        <w:tc>
          <w:tcPr>
            <w:tcW w:w="640" w:type="dxa"/>
            <w:vAlign w:val="bottom"/>
          </w:tcPr>
          <w:p>
            <w:pPr>
              <w:jc w:val="right"/>
              <w:spacing w:after="0"/>
              <w:rPr>
                <w:sz w:val="20"/>
                <w:szCs w:val="20"/>
                <w:color w:val="auto"/>
              </w:rPr>
            </w:pPr>
            <w:r>
              <w:rPr>
                <w:rFonts w:ascii="Arial" w:cs="Arial" w:eastAsia="Arial" w:hAnsi="Arial"/>
                <w:sz w:val="16"/>
                <w:szCs w:val="16"/>
                <w:color w:val="auto"/>
              </w:rPr>
              <w:t>$(652.8)</w:t>
            </w:r>
          </w:p>
        </w:tc>
        <w:tc>
          <w:tcPr>
            <w:tcW w:w="9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$(206.0)</w:t>
            </w:r>
          </w:p>
        </w:tc>
        <w:tc>
          <w:tcPr>
            <w:tcW w:w="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40"/>
        </w:trPr>
        <w:tc>
          <w:tcPr>
            <w:tcW w:w="5540" w:type="dxa"/>
            <w:vAlign w:val="bottom"/>
          </w:tcPr>
          <w:p>
            <w:pPr>
              <w:ind w:left="20"/>
              <w:spacing w:after="0"/>
              <w:rPr>
                <w:sz w:val="20"/>
                <w:szCs w:val="20"/>
                <w:color w:val="auto"/>
              </w:rPr>
            </w:pPr>
            <w:r>
              <w:rPr>
                <w:rFonts w:ascii="Arial" w:cs="Arial" w:eastAsia="Arial" w:hAnsi="Arial"/>
                <w:sz w:val="16"/>
                <w:szCs w:val="16"/>
                <w:color w:val="auto"/>
              </w:rPr>
              <w:t>Income tax expense (benefit), as reported</w:t>
            </w:r>
          </w:p>
        </w:tc>
        <w:tc>
          <w:tcPr>
            <w:tcW w:w="640" w:type="dxa"/>
            <w:vAlign w:val="bottom"/>
          </w:tcPr>
          <w:p>
            <w:pPr>
              <w:jc w:val="right"/>
              <w:spacing w:after="0"/>
              <w:rPr>
                <w:sz w:val="20"/>
                <w:szCs w:val="20"/>
                <w:color w:val="auto"/>
              </w:rPr>
            </w:pPr>
            <w:r>
              <w:rPr>
                <w:rFonts w:ascii="Arial" w:cs="Arial" w:eastAsia="Arial" w:hAnsi="Arial"/>
                <w:sz w:val="16"/>
                <w:szCs w:val="16"/>
                <w:color w:val="auto"/>
              </w:rPr>
              <w:t>79.8</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(66.9)</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40"/>
        </w:trPr>
        <w:tc>
          <w:tcPr>
            <w:tcW w:w="5540" w:type="dxa"/>
            <w:vAlign w:val="bottom"/>
          </w:tcPr>
          <w:p>
            <w:pPr>
              <w:ind w:left="20"/>
              <w:spacing w:after="0"/>
              <w:rPr>
                <w:sz w:val="20"/>
                <w:szCs w:val="20"/>
                <w:color w:val="auto"/>
              </w:rPr>
            </w:pPr>
            <w:r>
              <w:rPr>
                <w:rFonts w:ascii="Arial" w:cs="Arial" w:eastAsia="Arial" w:hAnsi="Arial"/>
                <w:sz w:val="16"/>
                <w:szCs w:val="16"/>
                <w:color w:val="auto"/>
              </w:rPr>
              <w:t>Interest income, as reported</w:t>
            </w:r>
          </w:p>
        </w:tc>
        <w:tc>
          <w:tcPr>
            <w:tcW w:w="640" w:type="dxa"/>
            <w:vAlign w:val="bottom"/>
          </w:tcPr>
          <w:p>
            <w:pPr>
              <w:jc w:val="right"/>
              <w:spacing w:after="0"/>
              <w:rPr>
                <w:sz w:val="20"/>
                <w:szCs w:val="20"/>
                <w:color w:val="auto"/>
              </w:rPr>
            </w:pPr>
            <w:r>
              <w:rPr>
                <w:rFonts w:ascii="Arial" w:cs="Arial" w:eastAsia="Arial" w:hAnsi="Arial"/>
                <w:sz w:val="16"/>
                <w:szCs w:val="16"/>
                <w:color w:val="auto"/>
              </w:rPr>
              <w:t>(11.1)</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40"/>
        </w:trPr>
        <w:tc>
          <w:tcPr>
            <w:tcW w:w="5540" w:type="dxa"/>
            <w:vAlign w:val="bottom"/>
          </w:tcPr>
          <w:p>
            <w:pPr>
              <w:ind w:left="20"/>
              <w:spacing w:after="0"/>
              <w:rPr>
                <w:sz w:val="20"/>
                <w:szCs w:val="20"/>
                <w:color w:val="auto"/>
              </w:rPr>
            </w:pPr>
            <w:r>
              <w:rPr>
                <w:rFonts w:ascii="Arial" w:cs="Arial" w:eastAsia="Arial" w:hAnsi="Arial"/>
                <w:sz w:val="16"/>
                <w:szCs w:val="16"/>
                <w:color w:val="auto"/>
              </w:rPr>
              <w:t>Other income (expense), net, as reported</w:t>
            </w:r>
          </w:p>
        </w:tc>
        <w:tc>
          <w:tcPr>
            <w:tcW w:w="640" w:type="dxa"/>
            <w:vAlign w:val="bottom"/>
          </w:tcPr>
          <w:p>
            <w:pPr>
              <w:jc w:val="right"/>
              <w:spacing w:after="0"/>
              <w:rPr>
                <w:sz w:val="20"/>
                <w:szCs w:val="20"/>
                <w:color w:val="auto"/>
              </w:rPr>
            </w:pPr>
            <w:r>
              <w:rPr>
                <w:rFonts w:ascii="Arial" w:cs="Arial" w:eastAsia="Arial" w:hAnsi="Arial"/>
                <w:sz w:val="16"/>
                <w:szCs w:val="16"/>
                <w:color w:val="auto"/>
              </w:rPr>
              <w:t>(75.5)</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(7.9)</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45"/>
        </w:trPr>
        <w:tc>
          <w:tcPr>
            <w:tcW w:w="5540" w:type="dxa"/>
            <w:vAlign w:val="bottom"/>
            <w:vMerge w:val="restart"/>
          </w:tcPr>
          <w:p>
            <w:pPr>
              <w:ind w:left="20"/>
              <w:spacing w:after="0"/>
              <w:rPr>
                <w:sz w:val="20"/>
                <w:szCs w:val="20"/>
                <w:color w:val="auto"/>
              </w:rPr>
            </w:pPr>
            <w:r>
              <w:rPr>
                <w:rFonts w:ascii="Arial" w:cs="Arial" w:eastAsia="Arial" w:hAnsi="Arial"/>
                <w:sz w:val="16"/>
                <w:szCs w:val="16"/>
                <w:color w:val="auto"/>
              </w:rPr>
              <w:t>Operating income (loss), as reported</w:t>
            </w:r>
          </w:p>
        </w:tc>
        <w:tc>
          <w:tcPr>
            <w:tcW w:w="64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vMerge w:val="continue"/>
          </w:tcPr>
          <w:p>
            <w:pPr>
              <w:spacing w:after="0"/>
              <w:rPr>
                <w:sz w:val="15"/>
                <w:szCs w:val="15"/>
                <w:color w:val="auto"/>
              </w:rPr>
            </w:pPr>
          </w:p>
        </w:tc>
        <w:tc>
          <w:tcPr>
            <w:tcW w:w="640" w:type="dxa"/>
            <w:vAlign w:val="bottom"/>
          </w:tcPr>
          <w:p>
            <w:pPr>
              <w:jc w:val="right"/>
              <w:spacing w:after="0" w:line="173" w:lineRule="exact"/>
              <w:rPr>
                <w:sz w:val="20"/>
                <w:szCs w:val="20"/>
                <w:color w:val="auto"/>
              </w:rPr>
            </w:pPr>
            <w:r>
              <w:rPr>
                <w:rFonts w:ascii="Arial" w:cs="Arial" w:eastAsia="Arial" w:hAnsi="Arial"/>
                <w:sz w:val="16"/>
                <w:szCs w:val="16"/>
                <w:color w:val="auto"/>
              </w:rPr>
              <w:t>(659.6)</w:t>
            </w:r>
          </w:p>
        </w:tc>
        <w:tc>
          <w:tcPr>
            <w:tcW w:w="960" w:type="dxa"/>
            <w:vAlign w:val="bottom"/>
          </w:tcPr>
          <w:p>
            <w:pPr>
              <w:spacing w:after="0"/>
              <w:rPr>
                <w:sz w:val="15"/>
                <w:szCs w:val="15"/>
                <w:color w:val="auto"/>
              </w:rPr>
            </w:pPr>
          </w:p>
        </w:tc>
        <w:tc>
          <w:tcPr>
            <w:tcW w:w="6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(291.7)</w:t>
            </w:r>
          </w:p>
        </w:tc>
        <w:tc>
          <w:tcPr>
            <w:tcW w:w="96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38"/>
        </w:trPr>
        <w:tc>
          <w:tcPr>
            <w:tcW w:w="55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540" w:type="dxa"/>
            <w:vAlign w:val="bottom"/>
          </w:tcPr>
          <w:p>
            <w:pPr>
              <w:ind w:left="200"/>
              <w:spacing w:after="0"/>
              <w:rPr>
                <w:sz w:val="20"/>
                <w:szCs w:val="20"/>
                <w:color w:val="auto"/>
              </w:rPr>
            </w:pPr>
            <w:r>
              <w:rPr>
                <w:rFonts w:ascii="Arial" w:cs="Arial" w:eastAsia="Arial" w:hAnsi="Arial"/>
                <w:sz w:val="16"/>
                <w:szCs w:val="16"/>
                <w:color w:val="auto"/>
              </w:rPr>
              <w:t>Amortization of purchased intangible assets</w:t>
            </w:r>
          </w:p>
        </w:tc>
        <w:tc>
          <w:tcPr>
            <w:tcW w:w="640" w:type="dxa"/>
            <w:vAlign w:val="bottom"/>
          </w:tcPr>
          <w:p>
            <w:pPr>
              <w:jc w:val="right"/>
              <w:spacing w:after="0"/>
              <w:rPr>
                <w:sz w:val="20"/>
                <w:szCs w:val="20"/>
                <w:color w:val="auto"/>
              </w:rPr>
            </w:pPr>
            <w:r>
              <w:rPr>
                <w:rFonts w:ascii="Arial" w:cs="Arial" w:eastAsia="Arial" w:hAnsi="Arial"/>
                <w:sz w:val="16"/>
                <w:szCs w:val="16"/>
                <w:color w:val="auto"/>
              </w:rPr>
              <w:t>227.0</w:t>
            </w:r>
          </w:p>
        </w:tc>
        <w:tc>
          <w:tcPr>
            <w:tcW w:w="9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165.1</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Restructuring costs, net</w:t>
            </w:r>
          </w:p>
        </w:tc>
        <w:tc>
          <w:tcPr>
            <w:tcW w:w="640" w:type="dxa"/>
            <w:vAlign w:val="bottom"/>
          </w:tcPr>
          <w:p>
            <w:pPr>
              <w:jc w:val="right"/>
              <w:spacing w:after="0"/>
              <w:rPr>
                <w:sz w:val="20"/>
                <w:szCs w:val="20"/>
                <w:color w:val="auto"/>
              </w:rPr>
            </w:pPr>
            <w:r>
              <w:rPr>
                <w:rFonts w:ascii="Arial" w:cs="Arial" w:eastAsia="Arial" w:hAnsi="Arial"/>
                <w:sz w:val="16"/>
                <w:szCs w:val="16"/>
                <w:color w:val="auto"/>
              </w:rPr>
              <w:t>29.4</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36.7</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Equity-based compensation</w:t>
            </w:r>
          </w:p>
        </w:tc>
        <w:tc>
          <w:tcPr>
            <w:tcW w:w="640" w:type="dxa"/>
            <w:vAlign w:val="bottom"/>
          </w:tcPr>
          <w:p>
            <w:pPr>
              <w:jc w:val="right"/>
              <w:spacing w:after="0"/>
              <w:rPr>
                <w:sz w:val="20"/>
                <w:szCs w:val="20"/>
                <w:color w:val="auto"/>
              </w:rPr>
            </w:pPr>
            <w:r>
              <w:rPr>
                <w:rFonts w:ascii="Arial" w:cs="Arial" w:eastAsia="Arial" w:hAnsi="Arial"/>
                <w:sz w:val="16"/>
                <w:szCs w:val="16"/>
                <w:color w:val="auto"/>
              </w:rPr>
              <w:t>31.3</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19.5</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Asset impairments</w:t>
            </w:r>
          </w:p>
        </w:tc>
        <w:tc>
          <w:tcPr>
            <w:tcW w:w="640" w:type="dxa"/>
            <w:vAlign w:val="bottom"/>
          </w:tcPr>
          <w:p>
            <w:pPr>
              <w:jc w:val="right"/>
              <w:spacing w:after="0"/>
              <w:rPr>
                <w:sz w:val="20"/>
                <w:szCs w:val="20"/>
                <w:color w:val="auto"/>
              </w:rPr>
            </w:pPr>
            <w:r>
              <w:rPr>
                <w:rFonts w:ascii="Arial" w:cs="Arial" w:eastAsia="Arial" w:hAnsi="Arial"/>
                <w:sz w:val="16"/>
                <w:szCs w:val="16"/>
                <w:color w:val="auto"/>
              </w:rPr>
              <w:t>472.3</w:t>
            </w:r>
          </w:p>
        </w:tc>
        <w:tc>
          <w:tcPr>
            <w:tcW w:w="960" w:type="dxa"/>
            <w:vAlign w:val="bottom"/>
          </w:tcPr>
          <w:p>
            <w:pPr>
              <w:spacing w:after="0"/>
              <w:rPr>
                <w:sz w:val="20"/>
                <w:szCs w:val="20"/>
                <w:color w:val="auto"/>
              </w:rPr>
            </w:pPr>
          </w:p>
        </w:tc>
        <w:tc>
          <w:tcPr>
            <w:tcW w:w="1600" w:type="dxa"/>
            <w:vAlign w:val="bottom"/>
            <w:gridSpan w:val="3"/>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Transaction, transformation and integration costs</w:t>
            </w:r>
            <w:r>
              <w:rPr>
                <w:rFonts w:ascii="Arial" w:cs="Arial" w:eastAsia="Arial" w:hAnsi="Arial"/>
                <w:sz w:val="9"/>
                <w:szCs w:val="9"/>
                <w:color w:val="auto"/>
              </w:rPr>
              <w:t>(1)</w:t>
            </w:r>
          </w:p>
        </w:tc>
        <w:tc>
          <w:tcPr>
            <w:tcW w:w="640" w:type="dxa"/>
            <w:vAlign w:val="bottom"/>
          </w:tcPr>
          <w:p>
            <w:pPr>
              <w:jc w:val="right"/>
              <w:spacing w:after="0"/>
              <w:rPr>
                <w:sz w:val="20"/>
                <w:szCs w:val="20"/>
                <w:color w:val="auto"/>
              </w:rPr>
            </w:pPr>
            <w:r>
              <w:rPr>
                <w:rFonts w:ascii="Arial" w:cs="Arial" w:eastAsia="Arial" w:hAnsi="Arial"/>
                <w:sz w:val="16"/>
                <w:szCs w:val="16"/>
                <w:color w:val="auto"/>
              </w:rPr>
              <w:t>27.1</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63.4</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Acquisition accounting adjustments</w:t>
            </w:r>
            <w:r>
              <w:rPr>
                <w:rFonts w:ascii="Arial" w:cs="Arial" w:eastAsia="Arial" w:hAnsi="Arial"/>
                <w:sz w:val="9"/>
                <w:szCs w:val="9"/>
                <w:color w:val="auto"/>
              </w:rPr>
              <w:t>(2)</w:t>
            </w: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960" w:type="dxa"/>
            <w:vAlign w:val="bottom"/>
          </w:tcPr>
          <w:p>
            <w:pPr>
              <w:spacing w:after="0"/>
              <w:rPr>
                <w:sz w:val="20"/>
                <w:szCs w:val="20"/>
                <w:color w:val="auto"/>
              </w:rPr>
            </w:pPr>
          </w:p>
        </w:tc>
        <w:tc>
          <w:tcPr>
            <w:tcW w:w="1600" w:type="dxa"/>
            <w:vAlign w:val="bottom"/>
            <w:gridSpan w:val="3"/>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Patent claims and litigation settlements</w:t>
            </w:r>
          </w:p>
        </w:tc>
        <w:tc>
          <w:tcPr>
            <w:tcW w:w="640" w:type="dxa"/>
            <w:vAlign w:val="bottom"/>
          </w:tcPr>
          <w:p>
            <w:pPr>
              <w:jc w:val="right"/>
              <w:spacing w:after="0"/>
              <w:rPr>
                <w:sz w:val="20"/>
                <w:szCs w:val="20"/>
                <w:color w:val="auto"/>
              </w:rPr>
            </w:pPr>
            <w:r>
              <w:rPr>
                <w:rFonts w:ascii="Arial" w:cs="Arial" w:eastAsia="Arial" w:hAnsi="Arial"/>
                <w:sz w:val="16"/>
                <w:szCs w:val="16"/>
                <w:color w:val="auto"/>
              </w:rPr>
              <w:t>(3.5)</w:t>
            </w:r>
          </w:p>
        </w:tc>
        <w:tc>
          <w:tcPr>
            <w:tcW w:w="960" w:type="dxa"/>
            <w:vAlign w:val="bottom"/>
          </w:tcPr>
          <w:p>
            <w:pPr>
              <w:spacing w:after="0"/>
              <w:rPr>
                <w:sz w:val="20"/>
                <w:szCs w:val="20"/>
                <w:color w:val="auto"/>
              </w:rPr>
            </w:pPr>
          </w:p>
        </w:tc>
        <w:tc>
          <w:tcPr>
            <w:tcW w:w="1600" w:type="dxa"/>
            <w:vAlign w:val="bottom"/>
            <w:gridSpan w:val="3"/>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Recovery of Russian accounts receivable</w:t>
            </w: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960" w:type="dxa"/>
            <w:vAlign w:val="bottom"/>
          </w:tcPr>
          <w:p>
            <w:pPr>
              <w:spacing w:after="0"/>
              <w:rPr>
                <w:sz w:val="20"/>
                <w:szCs w:val="20"/>
                <w:color w:val="auto"/>
              </w:rPr>
            </w:pPr>
          </w:p>
        </w:tc>
        <w:tc>
          <w:tcPr>
            <w:tcW w:w="1600" w:type="dxa"/>
            <w:vAlign w:val="bottom"/>
            <w:gridSpan w:val="3"/>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Cyber incident costs</w:t>
            </w:r>
            <w:r>
              <w:rPr>
                <w:rFonts w:ascii="Arial" w:cs="Arial" w:eastAsia="Arial" w:hAnsi="Arial"/>
                <w:sz w:val="9"/>
                <w:szCs w:val="9"/>
                <w:color w:val="auto"/>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5.5</w:t>
            </w:r>
          </w:p>
        </w:tc>
        <w:tc>
          <w:tcPr>
            <w:tcW w:w="960" w:type="dxa"/>
            <w:vAlign w:val="bottom"/>
          </w:tcPr>
          <w:p>
            <w:pPr>
              <w:spacing w:after="0"/>
              <w:rPr>
                <w:sz w:val="20"/>
                <w:szCs w:val="20"/>
                <w:color w:val="auto"/>
              </w:rPr>
            </w:pPr>
          </w:p>
        </w:tc>
        <w:tc>
          <w:tcPr>
            <w:tcW w:w="1600" w:type="dxa"/>
            <w:vAlign w:val="bottom"/>
            <w:gridSpan w:val="3"/>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640" w:type="dxa"/>
            <w:vAlign w:val="bottom"/>
          </w:tcPr>
          <w:p>
            <w:pPr>
              <w:jc w:val="right"/>
              <w:spacing w:after="0"/>
              <w:rPr>
                <w:sz w:val="20"/>
                <w:szCs w:val="20"/>
                <w:color w:val="auto"/>
              </w:rPr>
            </w:pPr>
            <w:r>
              <w:rPr>
                <w:rFonts w:ascii="Arial" w:cs="Arial" w:eastAsia="Arial" w:hAnsi="Arial"/>
                <w:sz w:val="16"/>
                <w:szCs w:val="16"/>
                <w:color w:val="auto"/>
              </w:rPr>
              <w:t>46.4</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31.5</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4"/>
        </w:trPr>
        <w:tc>
          <w:tcPr>
            <w:tcW w:w="5540" w:type="dxa"/>
            <w:vAlign w:val="bottom"/>
          </w:tcPr>
          <w:p>
            <w:pPr>
              <w:ind w:left="200"/>
              <w:spacing w:after="0"/>
              <w:rPr>
                <w:sz w:val="20"/>
                <w:szCs w:val="20"/>
                <w:color w:val="auto"/>
              </w:rPr>
            </w:pPr>
            <w:r>
              <w:rPr>
                <w:rFonts w:ascii="Arial" w:cs="Arial" w:eastAsia="Arial" w:hAnsi="Arial"/>
                <w:sz w:val="16"/>
                <w:szCs w:val="16"/>
                <w:color w:val="auto"/>
              </w:rPr>
              <w:t>Other</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1"/>
                <w:szCs w:val="21"/>
                <w:color w:val="auto"/>
              </w:rPr>
            </w:pPr>
          </w:p>
        </w:tc>
        <w:tc>
          <w:tcPr>
            <w:tcW w:w="1600" w:type="dxa"/>
            <w:vAlign w:val="bottom"/>
            <w:gridSpan w:val="3"/>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4"/>
        </w:trPr>
        <w:tc>
          <w:tcPr>
            <w:tcW w:w="554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5540" w:type="dxa"/>
            <w:vAlign w:val="bottom"/>
          </w:tcPr>
          <w:p>
            <w:pPr>
              <w:ind w:left="20"/>
              <w:spacing w:after="0"/>
              <w:rPr>
                <w:sz w:val="20"/>
                <w:szCs w:val="20"/>
                <w:color w:val="auto"/>
              </w:rPr>
            </w:pPr>
            <w:r>
              <w:rPr>
                <w:rFonts w:ascii="Arial" w:cs="Arial" w:eastAsia="Arial" w:hAnsi="Arial"/>
                <w:sz w:val="16"/>
                <w:szCs w:val="16"/>
                <w:color w:val="auto"/>
              </w:rPr>
              <w:t>Non-GAAP adjusted EBITDA</w:t>
            </w:r>
          </w:p>
        </w:tc>
        <w:tc>
          <w:tcPr>
            <w:tcW w:w="640" w:type="dxa"/>
            <w:vAlign w:val="bottom"/>
          </w:tcPr>
          <w:p>
            <w:pPr>
              <w:jc w:val="right"/>
              <w:spacing w:after="0"/>
              <w:rPr>
                <w:sz w:val="20"/>
                <w:szCs w:val="20"/>
                <w:color w:val="auto"/>
              </w:rPr>
            </w:pPr>
            <w:r>
              <w:rPr>
                <w:rFonts w:ascii="Arial" w:cs="Arial" w:eastAsia="Arial" w:hAnsi="Arial"/>
                <w:sz w:val="16"/>
                <w:szCs w:val="16"/>
                <w:color w:val="auto"/>
              </w:rPr>
              <w:t>$175.2</w:t>
            </w:r>
          </w:p>
        </w:tc>
        <w:tc>
          <w:tcPr>
            <w:tcW w:w="9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$24.5</w:t>
            </w:r>
          </w:p>
        </w:tc>
        <w:tc>
          <w:tcPr>
            <w:tcW w:w="9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697"/>
        </w:trPr>
        <w:tc>
          <w:tcPr>
            <w:tcW w:w="5540" w:type="dxa"/>
            <w:vAlign w:val="bottom"/>
          </w:tcPr>
          <w:p>
            <w:pPr>
              <w:ind w:left="20"/>
              <w:spacing w:after="0"/>
              <w:rPr>
                <w:sz w:val="20"/>
                <w:szCs w:val="20"/>
                <w:color w:val="auto"/>
              </w:rPr>
            </w:pPr>
            <w:r>
              <w:rPr>
                <w:rFonts w:ascii="Arial" w:cs="Arial" w:eastAsia="Arial" w:hAnsi="Arial"/>
                <w:sz w:val="22"/>
                <w:szCs w:val="22"/>
                <w:color w:val="auto"/>
              </w:rPr>
              <w:t>Reconciliation of adjusted net income</w:t>
            </w:r>
          </w:p>
        </w:tc>
        <w:tc>
          <w:tcPr>
            <w:tcW w:w="64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540" w:type="dxa"/>
            <w:vAlign w:val="bottom"/>
          </w:tcPr>
          <w:p>
            <w:pPr>
              <w:ind w:left="20"/>
              <w:spacing w:after="0"/>
              <w:rPr>
                <w:sz w:val="20"/>
                <w:szCs w:val="20"/>
                <w:color w:val="auto"/>
              </w:rPr>
            </w:pPr>
            <w:r>
              <w:rPr>
                <w:rFonts w:ascii="Arial" w:cs="Arial" w:eastAsia="Arial" w:hAnsi="Arial"/>
                <w:sz w:val="22"/>
                <w:szCs w:val="22"/>
                <w:color w:val="auto"/>
              </w:rPr>
              <w:t>(loss) and adjusted diluted EPS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540" w:type="dxa"/>
            <w:vAlign w:val="bottom"/>
          </w:tcPr>
          <w:p>
            <w:pPr>
              <w:ind w:left="20"/>
              <w:spacing w:after="0"/>
              <w:rPr>
                <w:sz w:val="20"/>
                <w:szCs w:val="20"/>
                <w:color w:val="auto"/>
              </w:rPr>
            </w:pPr>
            <w:r>
              <w:rPr>
                <w:rFonts w:ascii="Arial" w:cs="Arial" w:eastAsia="Arial" w:hAnsi="Arial"/>
                <w:sz w:val="16"/>
                <w:szCs w:val="16"/>
                <w:color w:val="auto"/>
              </w:rPr>
              <w:t>Loss from continuing operations, as reported</w:t>
            </w:r>
          </w:p>
        </w:tc>
        <w:tc>
          <w:tcPr>
            <w:tcW w:w="640" w:type="dxa"/>
            <w:vAlign w:val="bottom"/>
          </w:tcPr>
          <w:p>
            <w:pPr>
              <w:jc w:val="right"/>
              <w:spacing w:after="0"/>
              <w:rPr>
                <w:sz w:val="20"/>
                <w:szCs w:val="20"/>
                <w:color w:val="auto"/>
              </w:rPr>
            </w:pPr>
            <w:r>
              <w:rPr>
                <w:rFonts w:ascii="Arial" w:cs="Arial" w:eastAsia="Arial" w:hAnsi="Arial"/>
                <w:sz w:val="16"/>
                <w:szCs w:val="16"/>
                <w:color w:val="auto"/>
              </w:rPr>
              <w:t>$(652.8)</w:t>
            </w:r>
          </w:p>
        </w:tc>
        <w:tc>
          <w:tcPr>
            <w:tcW w:w="9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$(206.0)</w:t>
            </w:r>
          </w:p>
        </w:tc>
        <w:tc>
          <w:tcPr>
            <w:tcW w:w="9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40"/>
        </w:trPr>
        <w:tc>
          <w:tcPr>
            <w:tcW w:w="55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Total pretax adjustments to adjusted EBITDA</w:t>
            </w:r>
          </w:p>
        </w:tc>
        <w:tc>
          <w:tcPr>
            <w:tcW w:w="640" w:type="dxa"/>
            <w:vAlign w:val="bottom"/>
          </w:tcPr>
          <w:p>
            <w:pPr>
              <w:jc w:val="right"/>
              <w:spacing w:after="0"/>
              <w:rPr>
                <w:sz w:val="20"/>
                <w:szCs w:val="20"/>
                <w:color w:val="auto"/>
              </w:rPr>
            </w:pPr>
            <w:r>
              <w:rPr>
                <w:rFonts w:ascii="Arial" w:cs="Arial" w:eastAsia="Arial" w:hAnsi="Arial"/>
                <w:sz w:val="16"/>
                <w:szCs w:val="16"/>
                <w:color w:val="auto"/>
              </w:rPr>
              <w:t>790.3</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284.7</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Pretax gain (loss) on debt transactions</w:t>
            </w:r>
            <w:r>
              <w:rPr>
                <w:rFonts w:ascii="Arial" w:cs="Arial" w:eastAsia="Arial" w:hAnsi="Arial"/>
                <w:sz w:val="9"/>
                <w:szCs w:val="9"/>
                <w:color w:val="auto"/>
              </w:rPr>
              <w:t>(4)</w:t>
            </w:r>
          </w:p>
        </w:tc>
        <w:tc>
          <w:tcPr>
            <w:tcW w:w="640" w:type="dxa"/>
            <w:vAlign w:val="bottom"/>
          </w:tcPr>
          <w:p>
            <w:pPr>
              <w:jc w:val="right"/>
              <w:spacing w:after="0"/>
              <w:rPr>
                <w:sz w:val="20"/>
                <w:szCs w:val="20"/>
                <w:color w:val="auto"/>
              </w:rPr>
            </w:pPr>
            <w:r>
              <w:rPr>
                <w:rFonts w:ascii="Arial" w:cs="Arial" w:eastAsia="Arial" w:hAnsi="Arial"/>
                <w:sz w:val="16"/>
                <w:szCs w:val="16"/>
                <w:color w:val="auto"/>
              </w:rPr>
              <w:t>(74.3)</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Tax effects of adjustments and other tax items</w:t>
            </w:r>
            <w:r>
              <w:rPr>
                <w:rFonts w:ascii="Arial" w:cs="Arial" w:eastAsia="Arial" w:hAnsi="Arial"/>
                <w:sz w:val="9"/>
                <w:szCs w:val="9"/>
                <w:color w:val="auto"/>
              </w:rPr>
              <w:t>(5)</w:t>
            </w:r>
          </w:p>
        </w:tc>
        <w:tc>
          <w:tcPr>
            <w:tcW w:w="640" w:type="dxa"/>
            <w:vAlign w:val="bottom"/>
          </w:tcPr>
          <w:p>
            <w:pPr>
              <w:jc w:val="right"/>
              <w:spacing w:after="0"/>
              <w:rPr>
                <w:sz w:val="20"/>
                <w:szCs w:val="20"/>
                <w:color w:val="auto"/>
              </w:rPr>
            </w:pPr>
            <w:r>
              <w:rPr>
                <w:rFonts w:ascii="Arial" w:cs="Arial" w:eastAsia="Arial" w:hAnsi="Arial"/>
                <w:sz w:val="16"/>
                <w:szCs w:val="16"/>
                <w:color w:val="auto"/>
              </w:rPr>
              <w:t>23.6</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(58.4)</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(336.8)</w:t>
            </w:r>
          </w:p>
        </w:tc>
        <w:tc>
          <w:tcPr>
            <w:tcW w:w="0" w:type="dxa"/>
            <w:vAlign w:val="bottom"/>
          </w:tcPr>
          <w:p>
            <w:pPr>
              <w:spacing w:after="0"/>
              <w:rPr>
                <w:sz w:val="1"/>
                <w:szCs w:val="1"/>
                <w:color w:val="auto"/>
              </w:rPr>
            </w:pPr>
          </w:p>
        </w:tc>
      </w:tr>
      <w:tr>
        <w:trPr>
          <w:trHeight w:val="37"/>
        </w:trPr>
        <w:tc>
          <w:tcPr>
            <w:tcW w:w="5540" w:type="dxa"/>
            <w:vAlign w:val="bottom"/>
            <w:vMerge w:val="restart"/>
          </w:tcPr>
          <w:p>
            <w:pPr>
              <w:ind w:left="20"/>
              <w:spacing w:after="0"/>
              <w:rPr>
                <w:sz w:val="20"/>
                <w:szCs w:val="20"/>
                <w:color w:val="auto"/>
              </w:rPr>
            </w:pPr>
            <w:r>
              <w:rPr>
                <w:rFonts w:ascii="Arial" w:cs="Arial" w:eastAsia="Arial" w:hAnsi="Arial"/>
                <w:sz w:val="16"/>
                <w:szCs w:val="16"/>
                <w:color w:val="auto"/>
              </w:rPr>
              <w:t>Non-GAAP adjusted net income (loss)</w:t>
            </w:r>
          </w:p>
        </w:tc>
        <w:tc>
          <w:tcPr>
            <w:tcW w:w="64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vMerge w:val="continue"/>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960" w:type="dxa"/>
            <w:vAlign w:val="bottom"/>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$26.7</w:t>
            </w:r>
          </w:p>
        </w:tc>
        <w:tc>
          <w:tcPr>
            <w:tcW w:w="9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6"/>
                <w:szCs w:val="16"/>
                <w:color w:val="auto"/>
              </w:rPr>
              <w:t>Diluted earning (loss) per shared from continuing</w:t>
            </w: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200"/>
              <w:spacing w:after="0"/>
              <w:rPr>
                <w:sz w:val="20"/>
                <w:szCs w:val="20"/>
                <w:color w:val="auto"/>
              </w:rPr>
            </w:pPr>
            <w:r>
              <w:rPr>
                <w:rFonts w:ascii="Arial" w:cs="Arial" w:eastAsia="Arial" w:hAnsi="Arial"/>
                <w:sz w:val="16"/>
                <w:szCs w:val="16"/>
                <w:color w:val="auto"/>
              </w:rPr>
              <w:t>operations, as reported</w:t>
            </w:r>
            <w:r>
              <w:rPr>
                <w:rFonts w:ascii="Arial" w:cs="Arial" w:eastAsia="Arial" w:hAnsi="Arial"/>
                <w:sz w:val="9"/>
                <w:szCs w:val="9"/>
                <w:color w:val="auto"/>
              </w:rPr>
              <w:t>(6)</w:t>
            </w:r>
          </w:p>
        </w:tc>
        <w:tc>
          <w:tcPr>
            <w:tcW w:w="640" w:type="dxa"/>
            <w:vAlign w:val="bottom"/>
          </w:tcPr>
          <w:p>
            <w:pPr>
              <w:jc w:val="right"/>
              <w:spacing w:after="0"/>
              <w:rPr>
                <w:sz w:val="20"/>
                <w:szCs w:val="20"/>
                <w:color w:val="auto"/>
              </w:rPr>
            </w:pPr>
            <w:r>
              <w:rPr>
                <w:rFonts w:ascii="Arial" w:cs="Arial" w:eastAsia="Arial" w:hAnsi="Arial"/>
                <w:sz w:val="16"/>
                <w:szCs w:val="16"/>
                <w:color w:val="auto"/>
              </w:rPr>
              <w:t>$(3.39)</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$(1.27)</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40"/>
        </w:trPr>
        <w:tc>
          <w:tcPr>
            <w:tcW w:w="5540" w:type="dxa"/>
            <w:vAlign w:val="bottom"/>
          </w:tcPr>
          <w:p>
            <w:pPr>
              <w:ind w:left="20"/>
              <w:spacing w:after="0"/>
              <w:rPr>
                <w:sz w:val="20"/>
                <w:szCs w:val="20"/>
                <w:color w:val="auto"/>
              </w:rPr>
            </w:pPr>
            <w:r>
              <w:rPr>
                <w:rFonts w:ascii="Arial" w:cs="Arial" w:eastAsia="Arial" w:hAnsi="Arial"/>
                <w:sz w:val="16"/>
                <w:szCs w:val="16"/>
                <w:color w:val="auto"/>
              </w:rPr>
              <w:t>Non-GAAP adjusted diluted EPS</w:t>
            </w:r>
            <w:r>
              <w:rPr>
                <w:rFonts w:ascii="Arial" w:cs="Arial" w:eastAsia="Arial" w:hAnsi="Arial"/>
                <w:sz w:val="9"/>
                <w:szCs w:val="9"/>
                <w:color w:val="auto"/>
              </w:rPr>
              <w:t>(7)</w:t>
            </w:r>
          </w:p>
        </w:tc>
        <w:tc>
          <w:tcPr>
            <w:tcW w:w="640" w:type="dxa"/>
            <w:vAlign w:val="bottom"/>
          </w:tcPr>
          <w:p>
            <w:pPr>
              <w:jc w:val="right"/>
              <w:spacing w:after="0"/>
              <w:rPr>
                <w:sz w:val="20"/>
                <w:szCs w:val="20"/>
                <w:color w:val="auto"/>
              </w:rPr>
            </w:pPr>
            <w:r>
              <w:rPr>
                <w:rFonts w:ascii="Arial" w:cs="Arial" w:eastAsia="Arial" w:hAnsi="Arial"/>
                <w:sz w:val="16"/>
                <w:szCs w:val="16"/>
                <w:color w:val="auto"/>
              </w:rPr>
              <w:t>$0.34</w:t>
            </w:r>
          </w:p>
        </w:tc>
        <w:tc>
          <w:tcPr>
            <w:tcW w:w="9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$0.10</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300"/>
          </w:cols>
          <w:pgMar w:left="500" w:top="738" w:right="1080" w:bottom="0" w:gutter="0" w:footer="0" w:header="0"/>
        </w:sectPr>
      </w:pPr>
    </w:p>
    <w:p>
      <w:pPr>
        <w:spacing w:after="0" w:line="396" w:lineRule="exact"/>
        <w:rPr>
          <w:sz w:val="20"/>
          <w:szCs w:val="20"/>
          <w:color w:val="auto"/>
        </w:rPr>
      </w:pPr>
    </w:p>
    <w:p>
      <w:pPr>
        <w:ind w:left="940"/>
        <w:spacing w:after="0"/>
        <w:rPr>
          <w:sz w:val="20"/>
          <w:szCs w:val="20"/>
          <w:color w:val="auto"/>
        </w:rPr>
      </w:pPr>
      <w:r>
        <w:rPr>
          <w:rFonts w:ascii="Arial" w:cs="Arial" w:eastAsia="Arial" w:hAnsi="Arial"/>
          <w:sz w:val="22"/>
          <w:szCs w:val="22"/>
          <w:color w:val="auto"/>
        </w:rPr>
        <w:t>Reconciliation of adjusted free cash flow</w:t>
      </w:r>
      <w:r>
        <w:rPr>
          <w:rFonts w:ascii="Arial" w:cs="Arial" w:eastAsia="Arial" w:hAnsi="Arial"/>
          <w:sz w:val="12"/>
          <w:szCs w:val="12"/>
          <w:color w:val="auto"/>
        </w:rPr>
        <w:t>(8)</w:t>
      </w:r>
    </w:p>
    <w:p>
      <w:pPr>
        <w:spacing w:after="0" w:line="8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Cash flow generated by operating activities, as reported</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Less: Additions to property, plant and equipment</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Free cash flow</w:t>
      </w:r>
    </w:p>
    <w:p>
      <w:pPr>
        <w:spacing w:after="0" w:line="200" w:lineRule="exact"/>
        <w:rPr>
          <w:sz w:val="20"/>
          <w:szCs w:val="20"/>
          <w:color w:val="auto"/>
        </w:rPr>
      </w:pPr>
    </w:p>
    <w:p>
      <w:pPr>
        <w:spacing w:after="0" w:line="386" w:lineRule="exact"/>
        <w:rPr>
          <w:sz w:val="20"/>
          <w:szCs w:val="20"/>
          <w:color w:val="auto"/>
        </w:rPr>
      </w:pPr>
    </w:p>
    <w:p>
      <w:pPr>
        <w:ind w:left="940"/>
        <w:spacing w:after="0"/>
        <w:rPr>
          <w:sz w:val="20"/>
          <w:szCs w:val="20"/>
          <w:color w:val="auto"/>
        </w:rPr>
      </w:pPr>
      <w:r>
        <w:rPr>
          <w:rFonts w:ascii="Arial" w:cs="Arial" w:eastAsia="Arial" w:hAnsi="Arial"/>
          <w:sz w:val="12"/>
          <w:szCs w:val="12"/>
          <w:color w:val="auto"/>
        </w:rPr>
        <w:t>Note: Components may not sum to total due to rounding.</w:t>
      </w:r>
    </w:p>
    <w:p>
      <w:pPr>
        <w:spacing w:after="0" w:line="77" w:lineRule="exact"/>
        <w:rPr>
          <w:sz w:val="20"/>
          <w:szCs w:val="20"/>
          <w:color w:val="auto"/>
        </w:rPr>
      </w:pPr>
    </w:p>
    <w:p>
      <w:pPr>
        <w:ind w:left="1060" w:hanging="120"/>
        <w:spacing w:after="0"/>
        <w:tabs>
          <w:tab w:leader="none" w:pos="1060" w:val="left"/>
        </w:tabs>
        <w:numPr>
          <w:ilvl w:val="0"/>
          <w:numId w:val="9"/>
        </w:numPr>
        <w:rPr>
          <w:rFonts w:ascii="Arial" w:cs="Arial" w:eastAsia="Arial" w:hAnsi="Arial"/>
          <w:sz w:val="9"/>
          <w:szCs w:val="9"/>
          <w:color w:val="auto"/>
        </w:rPr>
      </w:pPr>
      <w:r>
        <w:rPr>
          <w:rFonts w:ascii="Arial" w:cs="Arial" w:eastAsia="Arial" w:hAnsi="Arial"/>
          <w:sz w:val="9"/>
          <w:szCs w:val="9"/>
          <w:color w:val="auto"/>
        </w:rPr>
        <w:t>For all periods presented, primarily reflects transaction costs related to certain transformation initiatives.</w:t>
      </w:r>
    </w:p>
    <w:p>
      <w:pPr>
        <w:spacing w:after="0" w:line="111" w:lineRule="exact"/>
        <w:rPr>
          <w:rFonts w:ascii="Arial" w:cs="Arial" w:eastAsia="Arial" w:hAnsi="Arial"/>
          <w:sz w:val="9"/>
          <w:szCs w:val="9"/>
          <w:color w:val="auto"/>
        </w:rPr>
      </w:pPr>
    </w:p>
    <w:p>
      <w:pPr>
        <w:ind w:left="940" w:right="80"/>
        <w:spacing w:after="0" w:line="324" w:lineRule="auto"/>
        <w:tabs>
          <w:tab w:leader="none" w:pos="1084" w:val="left"/>
        </w:tabs>
        <w:numPr>
          <w:ilvl w:val="0"/>
          <w:numId w:val="9"/>
        </w:numPr>
        <w:rPr>
          <w:rFonts w:ascii="Arial" w:cs="Arial" w:eastAsia="Arial" w:hAnsi="Arial"/>
          <w:sz w:val="11"/>
          <w:szCs w:val="11"/>
          <w:color w:val="auto"/>
        </w:rPr>
      </w:pPr>
      <w:r>
        <w:rPr>
          <w:rFonts w:ascii="Arial" w:cs="Arial" w:eastAsia="Arial" w:hAnsi="Arial"/>
          <w:sz w:val="11"/>
          <w:szCs w:val="11"/>
          <w:color w:val="auto"/>
        </w:rPr>
        <w:t>In 2023, reflects ARRIS International plc (ARRIS) acquisition accounting adjustments related to reducing deferred revenue to its estimated fair value.</w:t>
      </w:r>
    </w:p>
    <w:p>
      <w:pPr>
        <w:spacing w:after="0" w:line="28" w:lineRule="exact"/>
        <w:rPr>
          <w:rFonts w:ascii="Arial" w:cs="Arial" w:eastAsia="Arial" w:hAnsi="Arial"/>
          <w:sz w:val="11"/>
          <w:szCs w:val="11"/>
          <w:color w:val="auto"/>
        </w:rPr>
      </w:pPr>
    </w:p>
    <w:p>
      <w:pPr>
        <w:ind w:left="940"/>
        <w:spacing w:after="0" w:line="324" w:lineRule="auto"/>
        <w:tabs>
          <w:tab w:leader="none" w:pos="1084" w:val="left"/>
        </w:tabs>
        <w:numPr>
          <w:ilvl w:val="0"/>
          <w:numId w:val="9"/>
        </w:numPr>
        <w:rPr>
          <w:rFonts w:ascii="Arial" w:cs="Arial" w:eastAsia="Arial" w:hAnsi="Arial"/>
          <w:sz w:val="11"/>
          <w:szCs w:val="11"/>
          <w:color w:val="auto"/>
        </w:rPr>
      </w:pPr>
      <w:r>
        <w:rPr>
          <w:rFonts w:ascii="Arial" w:cs="Arial" w:eastAsia="Arial" w:hAnsi="Arial"/>
          <w:sz w:val="11"/>
          <w:szCs w:val="11"/>
          <w:color w:val="auto"/>
        </w:rPr>
        <w:t>In 2023, primarily reflects costs of the identification, investigation, defense, recovery and litigation efforts related to a cyber incident that occurred in late March of 2023.</w:t>
      </w:r>
    </w:p>
    <w:p>
      <w:pPr>
        <w:spacing w:after="0" w:line="28" w:lineRule="exact"/>
        <w:rPr>
          <w:rFonts w:ascii="Arial" w:cs="Arial" w:eastAsia="Arial" w:hAnsi="Arial"/>
          <w:sz w:val="11"/>
          <w:szCs w:val="11"/>
          <w:color w:val="auto"/>
        </w:rPr>
      </w:pPr>
    </w:p>
    <w:p>
      <w:pPr>
        <w:ind w:left="1100" w:hanging="160"/>
        <w:spacing w:after="0"/>
        <w:tabs>
          <w:tab w:leader="none" w:pos="110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Included in other income (expense), net.</w:t>
      </w:r>
    </w:p>
    <w:p>
      <w:pPr>
        <w:spacing w:after="0" w:line="76" w:lineRule="exact"/>
        <w:rPr>
          <w:rFonts w:ascii="Arial" w:cs="Arial" w:eastAsia="Arial" w:hAnsi="Arial"/>
          <w:sz w:val="12"/>
          <w:szCs w:val="12"/>
          <w:color w:val="auto"/>
        </w:rPr>
      </w:pPr>
    </w:p>
    <w:p>
      <w:pPr>
        <w:ind w:left="940" w:right="160"/>
        <w:spacing w:after="0" w:line="380" w:lineRule="auto"/>
        <w:tabs>
          <w:tab w:leader="none" w:pos="1082"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tax rates applied to adjustments reflect the tax expense or benefit based on the tax jurisdiction of the entity generating the adjustment. There are certain items for which we expect little or no tax effect.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jc w:val="right"/>
              <w:spacing w:after="0"/>
              <w:rPr>
                <w:sz w:val="20"/>
                <w:szCs w:val="20"/>
                <w:color w:val="auto"/>
              </w:rPr>
            </w:pPr>
            <w:r>
              <w:rPr>
                <w:rFonts w:ascii="Arial" w:cs="Arial" w:eastAsia="Arial" w:hAnsi="Arial"/>
                <w:sz w:val="16"/>
                <w:szCs w:val="16"/>
                <w:color w:val="auto"/>
              </w:rPr>
              <w:t>$297.3</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$273.1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$322.9</w:t>
            </w:r>
          </w:p>
        </w:tc>
      </w:tr>
      <w:tr>
        <w:trPr>
          <w:trHeight w:val="240"/>
        </w:trPr>
        <w:tc>
          <w:tcPr>
            <w:tcW w:w="620" w:type="dxa"/>
            <w:vAlign w:val="bottom"/>
          </w:tcPr>
          <w:p>
            <w:pPr>
              <w:jc w:val="right"/>
              <w:spacing w:after="0"/>
              <w:rPr>
                <w:sz w:val="20"/>
                <w:szCs w:val="20"/>
                <w:color w:val="auto"/>
              </w:rPr>
            </w:pPr>
            <w:r>
              <w:rPr>
                <w:rFonts w:ascii="Arial" w:cs="Arial" w:eastAsia="Arial" w:hAnsi="Arial"/>
                <w:sz w:val="16"/>
                <w:szCs w:val="16"/>
                <w:color w:val="auto"/>
              </w:rPr>
              <w:t>(60.7)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(25.3)</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(70.3)</w:t>
            </w:r>
          </w:p>
        </w:tc>
      </w:tr>
      <w:tr>
        <w:trPr>
          <w:trHeight w:val="36"/>
        </w:trPr>
        <w:tc>
          <w:tcPr>
            <w:tcW w:w="62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2"/>
        </w:trPr>
        <w:tc>
          <w:tcPr>
            <w:tcW w:w="620" w:type="dxa"/>
            <w:vAlign w:val="bottom"/>
          </w:tcPr>
          <w:p>
            <w:pPr>
              <w:jc w:val="right"/>
              <w:spacing w:after="0"/>
              <w:rPr>
                <w:sz w:val="20"/>
                <w:szCs w:val="20"/>
                <w:color w:val="auto"/>
              </w:rPr>
            </w:pPr>
            <w:r>
              <w:rPr>
                <w:rFonts w:ascii="Arial" w:cs="Arial" w:eastAsia="Arial" w:hAnsi="Arial"/>
                <w:sz w:val="16"/>
                <w:szCs w:val="16"/>
                <w:color w:val="auto"/>
              </w:rPr>
              <w:t>236.6</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247.8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252.6</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 w:firstLine="7"/>
        <w:spacing w:after="0" w:line="341" w:lineRule="auto"/>
        <w:tabs>
          <w:tab w:leader="none" w:pos="247" w:val="left"/>
        </w:tabs>
        <w:numPr>
          <w:ilvl w:val="0"/>
          <w:numId w:val="10"/>
        </w:numPr>
        <w:rPr>
          <w:rFonts w:ascii="Arial" w:cs="Arial" w:eastAsia="Arial" w:hAnsi="Arial"/>
          <w:sz w:val="10"/>
          <w:szCs w:val="10"/>
          <w:color w:val="auto"/>
        </w:rPr>
      </w:pPr>
      <w:r>
        <w:rPr>
          <w:rFonts w:ascii="Arial" w:cs="Arial" w:eastAsia="Arial" w:hAnsi="Arial"/>
          <w:sz w:val="10"/>
          <w:szCs w:val="10"/>
          <w:color w:val="auto"/>
        </w:rPr>
        <w:t>For all periods presented, GAAP earnings (loss) per share was calculated using net income (loss) attributable to common stockholders in the numerator, which includes the impact of the Series A convertible preferred stock dividend.</w:t>
      </w:r>
    </w:p>
    <w:p>
      <w:pPr>
        <w:spacing w:after="0" w:line="19" w:lineRule="exact"/>
        <w:rPr>
          <w:rFonts w:ascii="Arial" w:cs="Arial" w:eastAsia="Arial" w:hAnsi="Arial"/>
          <w:sz w:val="10"/>
          <w:szCs w:val="10"/>
          <w:color w:val="auto"/>
        </w:rPr>
      </w:pPr>
    </w:p>
    <w:p>
      <w:pPr>
        <w:jc w:val="both"/>
        <w:ind w:left="100" w:right="120" w:firstLine="7"/>
        <w:spacing w:after="0" w:line="299" w:lineRule="auto"/>
        <w:tabs>
          <w:tab w:leader="none" w:pos="243" w:val="left"/>
        </w:tabs>
        <w:numPr>
          <w:ilvl w:val="0"/>
          <w:numId w:val="10"/>
        </w:numPr>
        <w:rPr>
          <w:rFonts w:ascii="Arial" w:cs="Arial" w:eastAsia="Arial" w:hAnsi="Arial"/>
          <w:sz w:val="11"/>
          <w:szCs w:val="11"/>
          <w:color w:val="auto"/>
        </w:rPr>
      </w:pPr>
      <w:r>
        <w:rPr>
          <w:rFonts w:ascii="Arial" w:cs="Arial" w:eastAsia="Arial" w:hAnsi="Arial"/>
          <w:sz w:val="11"/>
          <w:szCs w:val="11"/>
          <w:color w:val="auto"/>
        </w:rPr>
        <w:t>Diluted shares used in the calculation of non-GAAP adjusted diluted EPS for the years ended December 31, 2025, 2024 and 2023 were 275.6 million, 262.8 million and 253.2 million, respectively.</w:t>
      </w:r>
    </w:p>
    <w:p>
      <w:pPr>
        <w:spacing w:after="0" w:line="37" w:lineRule="exact"/>
        <w:rPr>
          <w:rFonts w:ascii="Arial" w:cs="Arial" w:eastAsia="Arial" w:hAnsi="Arial"/>
          <w:sz w:val="11"/>
          <w:szCs w:val="11"/>
          <w:color w:val="auto"/>
        </w:rPr>
      </w:pPr>
    </w:p>
    <w:p>
      <w:pPr>
        <w:ind w:left="100" w:right="280" w:firstLine="7"/>
        <w:spacing w:after="0" w:line="299" w:lineRule="auto"/>
        <w:tabs>
          <w:tab w:leader="none" w:pos="246" w:val="left"/>
        </w:tabs>
        <w:numPr>
          <w:ilvl w:val="0"/>
          <w:numId w:val="10"/>
        </w:numPr>
        <w:rPr>
          <w:rFonts w:ascii="Arial" w:cs="Arial" w:eastAsia="Arial" w:hAnsi="Arial"/>
          <w:sz w:val="11"/>
          <w:szCs w:val="11"/>
          <w:color w:val="auto"/>
        </w:rPr>
      </w:pPr>
      <w:r>
        <w:rPr>
          <w:rFonts w:ascii="Arial" w:cs="Arial" w:eastAsia="Arial" w:hAnsi="Arial"/>
          <w:sz w:val="11"/>
          <w:szCs w:val="11"/>
          <w:color w:val="auto"/>
        </w:rPr>
        <w:t>Cash flows related to the discontinued operation have not been segregated; accordingly, this reconciliation of free cash flow includes the results of continuing and discontinued operations.</w:t>
      </w:r>
    </w:p>
    <w:p>
      <w:pPr>
        <w:spacing w:after="0" w:line="171" w:lineRule="exact"/>
        <w:rPr>
          <w:sz w:val="20"/>
          <w:szCs w:val="20"/>
          <w:color w:val="auto"/>
        </w:rPr>
      </w:pPr>
    </w:p>
    <w:p>
      <w:pPr>
        <w:sectPr>
          <w:pgSz w:w="11880" w:h="15480" w:orient="portrait"/>
          <w:cols w:equalWidth="0" w:num="2">
            <w:col w:w="6060" w:space="420"/>
            <w:col w:w="3820"/>
          </w:cols>
          <w:pgMar w:left="500" w:top="738" w:right="1080" w:bottom="0" w:gutter="0" w:footer="0" w:header="0"/>
          <w:type w:val="continuous"/>
        </w:sectPr>
      </w:pPr>
    </w:p>
    <w:p>
      <w:pPr>
        <w:ind w:left="940" w:right="60"/>
        <w:spacing w:after="0" w:line="263" w:lineRule="auto"/>
        <w:rPr>
          <w:sz w:val="20"/>
          <w:szCs w:val="20"/>
          <w:color w:val="auto"/>
        </w:rPr>
      </w:pPr>
      <w:r>
        <w:rPr>
          <w:rFonts w:ascii="Arial" w:cs="Arial" w:eastAsia="Arial" w:hAnsi="Arial"/>
          <w:sz w:val="12"/>
          <w:szCs w:val="12"/>
          <w:color w:val="auto"/>
        </w:rPr>
        <w:t>Management believes that presenting certain non-GAAP financial measures noted above enhances an investor's understanding of Vistance Network's financial performance when considered together with the GAAP financial measures. Management further believes that these non-GAAP financial measures are useful in assessing Vistance Network's operating performance from period to period by excluding certain items that it believes are not representative of its core business. In addition, Management uses certain of these financial measures for business planning purposes and in measuring Vistance Network's performance relative to that of its competitors.</w:t>
      </w:r>
    </w:p>
    <w:p>
      <w:pPr>
        <w:sectPr>
          <w:pgSz w:w="11880" w:h="15480" w:orient="portrait"/>
          <w:cols w:equalWidth="0" w:num="1">
            <w:col w:w="10300"/>
          </w:cols>
          <w:pgMar w:left="500" w:top="738" w:right="1080" w:bottom="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596265</wp:posOffset>
                </wp:positionH>
                <wp:positionV relativeFrom="paragraph">
                  <wp:posOffset>-67310</wp:posOffset>
                </wp:positionV>
                <wp:extent cx="663003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0035" cy="4763"/>
                        </a:xfrm>
                        <a:prstGeom prst="line">
                          <a:avLst/>
                        </a:prstGeom>
                        <a:solidFill>
                          <a:srgbClr val="FFFFFF"/>
                        </a:solidFill>
                        <a:ln w="12293">
                          <a:solidFill>
                            <a:srgbClr val="CCCCCC"/>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5pt,-5.2999pt" to="569pt,-5.2999pt" o:allowincell="f" strokecolor="#CCCCCC" strokeweight="0.968pt"/>
            </w:pict>
          </mc:Fallback>
        </mc:AlternateContent>
      </w:r>
    </w:p>
    <w:p>
      <w:pPr>
        <w:sectPr>
          <w:pgSz w:w="11880" w:h="15480" w:orient="portrait"/>
          <w:cols w:equalWidth="0" w:num="1">
            <w:col w:w="10300"/>
          </w:cols>
          <w:pgMar w:left="500" w:top="738" w:right="1080" w:bottom="0" w:gutter="0" w:footer="0" w:header="0"/>
          <w:type w:val="continuous"/>
        </w:sectPr>
      </w:pPr>
    </w:p>
    <w:bookmarkStart w:id="8" w:name="page9"/>
    <w:bookmarkEnd w:id="8"/>
    <w:p>
      <w:pPr>
        <w:ind w:right="4520"/>
        <w:spacing w:after="0" w:line="258" w:lineRule="auto"/>
        <w:rPr>
          <w:sz w:val="20"/>
          <w:szCs w:val="20"/>
          <w:color w:val="auto"/>
        </w:rPr>
      </w:pPr>
      <w:r>
        <w:rPr>
          <w:rFonts w:ascii="Arial" w:cs="Arial" w:eastAsia="Arial" w:hAnsi="Arial"/>
          <w:sz w:val="30"/>
          <w:szCs w:val="30"/>
          <w:color w:val="auto"/>
        </w:rPr>
        <w:t>Segment Reconciliation of GAAP Measures to non-GAAP adjusted measures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20"/>
                <w:szCs w:val="20"/>
                <w:color w:val="auto"/>
              </w:rPr>
            </w:pPr>
            <w:r>
              <w:rPr>
                <w:rFonts w:ascii="Arial" w:cs="Arial" w:eastAsia="Arial" w:hAnsi="Arial"/>
                <w:sz w:val="16"/>
                <w:szCs w:val="16"/>
                <w:color w:val="auto"/>
              </w:rPr>
              <w:t>(Unaudited—in millions)</w:t>
            </w:r>
          </w:p>
        </w:tc>
        <w:tc>
          <w:tcPr>
            <w:tcW w:w="148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5"/>
              </w:rPr>
              <w:t>Year Ended December 31</w:t>
            </w:r>
          </w:p>
        </w:tc>
        <w:tc>
          <w:tcPr>
            <w:tcW w:w="720" w:type="dxa"/>
            <w:vAlign w:val="bottom"/>
          </w:tcPr>
          <w:p>
            <w:pPr>
              <w:spacing w:after="0"/>
              <w:rPr>
                <w:sz w:val="16"/>
                <w:szCs w:val="16"/>
                <w:color w:val="auto"/>
              </w:rPr>
            </w:pPr>
          </w:p>
        </w:tc>
      </w:tr>
      <w:tr>
        <w:trPr>
          <w:trHeight w:val="587"/>
        </w:trPr>
        <w:tc>
          <w:tcPr>
            <w:tcW w:w="4920" w:type="dxa"/>
            <w:vAlign w:val="bottom"/>
          </w:tcPr>
          <w:p>
            <w:pPr>
              <w:spacing w:after="0"/>
              <w:rPr>
                <w:sz w:val="20"/>
                <w:szCs w:val="20"/>
                <w:color w:val="auto"/>
              </w:rPr>
            </w:pPr>
            <w:r>
              <w:rPr>
                <w:rFonts w:ascii="Arial" w:cs="Arial" w:eastAsia="Arial" w:hAnsi="Arial"/>
                <w:sz w:val="22"/>
                <w:szCs w:val="22"/>
                <w:color w:val="auto"/>
              </w:rPr>
              <w:t>Segment reconciliation of adjusted EBITDA</w:t>
            </w:r>
          </w:p>
        </w:tc>
        <w:tc>
          <w:tcPr>
            <w:tcW w:w="1480" w:type="dxa"/>
            <w:vAlign w:val="bottom"/>
          </w:tcPr>
          <w:p>
            <w:pPr>
              <w:jc w:val="right"/>
              <w:ind w:right="130"/>
              <w:spacing w:after="0"/>
              <w:rPr>
                <w:sz w:val="20"/>
                <w:szCs w:val="20"/>
                <w:color w:val="auto"/>
              </w:rPr>
            </w:pPr>
            <w:r>
              <w:rPr>
                <w:rFonts w:ascii="Arial" w:cs="Arial" w:eastAsia="Arial" w:hAnsi="Arial"/>
                <w:sz w:val="22"/>
                <w:szCs w:val="22"/>
                <w:color w:val="auto"/>
              </w:rPr>
              <w:t>2023</w:t>
            </w:r>
          </w:p>
        </w:tc>
        <w:tc>
          <w:tcPr>
            <w:tcW w:w="2240" w:type="dxa"/>
            <w:vAlign w:val="bottom"/>
          </w:tcPr>
          <w:p>
            <w:pPr>
              <w:jc w:val="right"/>
              <w:ind w:right="785"/>
              <w:spacing w:after="0"/>
              <w:rPr>
                <w:sz w:val="20"/>
                <w:szCs w:val="20"/>
                <w:color w:val="auto"/>
              </w:rPr>
            </w:pPr>
            <w:r>
              <w:rPr>
                <w:rFonts w:ascii="Arial" w:cs="Arial" w:eastAsia="Arial" w:hAnsi="Arial"/>
                <w:sz w:val="22"/>
                <w:szCs w:val="22"/>
                <w:color w:val="auto"/>
              </w:rPr>
              <w:t>2024</w:t>
            </w:r>
          </w:p>
        </w:tc>
        <w:tc>
          <w:tcPr>
            <w:tcW w:w="720" w:type="dxa"/>
            <w:vAlign w:val="bottom"/>
          </w:tcPr>
          <w:p>
            <w:pPr>
              <w:jc w:val="right"/>
              <w:spacing w:after="0"/>
              <w:rPr>
                <w:sz w:val="20"/>
                <w:szCs w:val="20"/>
                <w:color w:val="auto"/>
              </w:rPr>
            </w:pPr>
            <w:r>
              <w:rPr>
                <w:rFonts w:ascii="Arial" w:cs="Arial" w:eastAsia="Arial" w:hAnsi="Arial"/>
                <w:sz w:val="22"/>
                <w:szCs w:val="22"/>
                <w:color w:val="auto"/>
              </w:rPr>
              <w:t>2025</w:t>
            </w:r>
          </w:p>
        </w:tc>
      </w:tr>
    </w:tbl>
    <w:p>
      <w:pPr>
        <w:spacing w:after="0" w:line="200" w:lineRule="exact"/>
        <w:rPr>
          <w:sz w:val="20"/>
          <w:szCs w:val="20"/>
          <w:color w:val="auto"/>
        </w:rPr>
      </w:pPr>
    </w:p>
    <w:p>
      <w:pPr>
        <w:sectPr>
          <w:pgSz w:w="11880" w:h="15480" w:orient="portrait"/>
          <w:cols w:equalWidth="0" w:num="1">
            <w:col w:w="10320"/>
          </w:cols>
          <w:pgMar w:left="1080" w:top="738" w:right="480" w:bottom="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Aurora operating income (loss), as reported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Adjustments:</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purchased intangible assets</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Restructuring costs (credits), net</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Equity-based compensation</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Asset impairments</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Transaction, transformation and integration costs</w:t>
      </w:r>
      <w:r>
        <w:rPr>
          <w:rFonts w:ascii="Arial" w:cs="Arial" w:eastAsia="Arial" w:hAnsi="Arial"/>
          <w:sz w:val="9"/>
          <w:szCs w:val="9"/>
          <w:color w:val="auto"/>
        </w:rPr>
        <w:t>(1)</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Acquisition accounting adjustments</w:t>
      </w:r>
      <w:r>
        <w:rPr>
          <w:rFonts w:ascii="Arial" w:cs="Arial" w:eastAsia="Arial" w:hAnsi="Arial"/>
          <w:sz w:val="9"/>
          <w:szCs w:val="9"/>
          <w:color w:val="auto"/>
        </w:rPr>
        <w:t>(2)</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Cyber incident costs</w:t>
      </w:r>
      <w:r>
        <w:rPr>
          <w:rFonts w:ascii="Arial" w:cs="Arial" w:eastAsia="Arial" w:hAnsi="Arial"/>
          <w:sz w:val="9"/>
          <w:szCs w:val="9"/>
          <w:color w:val="auto"/>
        </w:rPr>
        <w:t>(3)</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Aurora non-GAAP adjusted EBITDA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RUCKUS operating income (loss), as reported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Adjustments:</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purchased intangible assets</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Restructuring costs, net</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Equity-based compensation</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Transaction, transformation and integration costs</w:t>
      </w:r>
      <w:r>
        <w:rPr>
          <w:rFonts w:ascii="Arial" w:cs="Arial" w:eastAsia="Arial" w:hAnsi="Arial"/>
          <w:sz w:val="9"/>
          <w:szCs w:val="9"/>
          <w:color w:val="auto"/>
        </w:rPr>
        <w:t>(1)</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Acquisition accounting adjustments</w:t>
      </w:r>
      <w:r>
        <w:rPr>
          <w:rFonts w:ascii="Arial" w:cs="Arial" w:eastAsia="Arial" w:hAnsi="Arial"/>
          <w:sz w:val="9"/>
          <w:szCs w:val="9"/>
          <w:color w:val="auto"/>
        </w:rPr>
        <w:t>(2)</w:t>
      </w:r>
    </w:p>
    <w:p>
      <w:pPr>
        <w:spacing w:after="0" w:line="96" w:lineRule="exact"/>
        <w:rPr>
          <w:sz w:val="20"/>
          <w:szCs w:val="20"/>
          <w:color w:val="auto"/>
        </w:rPr>
      </w:pPr>
    </w:p>
    <w:p>
      <w:pPr>
        <w:ind w:left="180" w:right="840"/>
        <w:spacing w:after="0" w:line="365" w:lineRule="auto"/>
        <w:rPr>
          <w:sz w:val="20"/>
          <w:szCs w:val="20"/>
          <w:color w:val="auto"/>
        </w:rPr>
      </w:pPr>
      <w:r>
        <w:rPr>
          <w:rFonts w:ascii="Arial" w:cs="Arial" w:eastAsia="Arial" w:hAnsi="Arial"/>
          <w:sz w:val="16"/>
          <w:szCs w:val="16"/>
          <w:color w:val="auto"/>
        </w:rPr>
        <w:t>Patent claims and litigation settlements Cyber incident costs</w:t>
      </w:r>
      <w:r>
        <w:rPr>
          <w:rFonts w:ascii="Arial" w:cs="Arial" w:eastAsia="Arial" w:hAnsi="Arial"/>
          <w:sz w:val="9"/>
          <w:szCs w:val="9"/>
          <w:color w:val="auto"/>
        </w:rPr>
        <w:t>(3)</w:t>
      </w:r>
      <w:r>
        <w:rPr>
          <w:rFonts w:ascii="Arial" w:cs="Arial" w:eastAsia="Arial" w:hAnsi="Arial"/>
          <w:sz w:val="16"/>
          <w:szCs w:val="16"/>
          <w:color w:val="auto"/>
        </w:rPr>
        <w:t xml:space="preserve"> Depreciation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RUCKUS non-GAAP adjusted EBITDA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Note: Components may not sum to total due to rounding.</w:t>
      </w:r>
    </w:p>
    <w:p>
      <w:pPr>
        <w:spacing w:after="0" w:line="77" w:lineRule="exact"/>
        <w:rPr>
          <w:sz w:val="20"/>
          <w:szCs w:val="20"/>
          <w:color w:val="auto"/>
        </w:rPr>
      </w:pPr>
    </w:p>
    <w:p>
      <w:pPr>
        <w:ind w:right="260"/>
        <w:spacing w:after="0" w:line="428" w:lineRule="auto"/>
        <w:tabs>
          <w:tab w:leader="none" w:pos="120" w:val="left"/>
        </w:tabs>
        <w:numPr>
          <w:ilvl w:val="0"/>
          <w:numId w:val="11"/>
        </w:numPr>
        <w:rPr>
          <w:rFonts w:ascii="Arial" w:cs="Arial" w:eastAsia="Arial" w:hAnsi="Arial"/>
          <w:sz w:val="9"/>
          <w:szCs w:val="9"/>
          <w:color w:val="auto"/>
        </w:rPr>
      </w:pPr>
      <w:r>
        <w:rPr>
          <w:rFonts w:ascii="Arial" w:cs="Arial" w:eastAsia="Arial" w:hAnsi="Arial"/>
          <w:sz w:val="9"/>
          <w:szCs w:val="9"/>
          <w:color w:val="auto"/>
        </w:rPr>
        <w:t>For all periods presented, primarily reflects transaction costs related to certain transformation initiatives.</w:t>
      </w:r>
    </w:p>
    <w:p>
      <w:pPr>
        <w:ind w:left="140" w:hanging="140"/>
        <w:spacing w:after="0"/>
        <w:tabs>
          <w:tab w:leader="none" w:pos="1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 2023, reflects ARRIS International plc (ARRIS) acquisition accounting</w:t>
      </w:r>
    </w:p>
    <w:p>
      <w:pPr>
        <w:spacing w:after="0" w:line="2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adjustments related to reducing deferred revenue to its estimated fair value.</w:t>
      </w:r>
    </w:p>
    <w:p>
      <w:pPr>
        <w:spacing w:after="0" w:line="88" w:lineRule="exact"/>
        <w:rPr>
          <w:rFonts w:ascii="Arial" w:cs="Arial" w:eastAsia="Arial" w:hAnsi="Arial"/>
          <w:sz w:val="11"/>
          <w:szCs w:val="11"/>
          <w:color w:val="auto"/>
        </w:rPr>
      </w:pPr>
    </w:p>
    <w:p>
      <w:pPr>
        <w:jc w:val="both"/>
        <w:ind w:right="80"/>
        <w:spacing w:after="0" w:line="322" w:lineRule="auto"/>
        <w:tabs>
          <w:tab w:leader="none" w:pos="144"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 2023, primarily reflects costs of the identification, investigation, defense, recovery and litigation efforts related to a cyber incident that occurred in late</w:t>
      </w:r>
    </w:p>
    <w:p>
      <w:pPr>
        <w:spacing w:after="0"/>
        <w:rPr>
          <w:rFonts w:ascii="Arial" w:cs="Arial" w:eastAsia="Arial" w:hAnsi="Arial"/>
          <w:sz w:val="10"/>
          <w:szCs w:val="10"/>
          <w:color w:val="auto"/>
        </w:rPr>
      </w:pPr>
      <w:r>
        <w:rPr>
          <w:rFonts w:ascii="Arial" w:cs="Arial" w:eastAsia="Arial" w:hAnsi="Arial"/>
          <w:sz w:val="12"/>
          <w:szCs w:val="12"/>
          <w:color w:val="auto"/>
        </w:rPr>
        <w:t>March of 2023.</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1100" w:type="dxa"/>
        <w:tblCellMar>
          <w:top w:w="0" w:type="dxa"/>
          <w:left w:w="0" w:type="dxa"/>
          <w:bottom w:w="0" w:type="dxa"/>
          <w:right w:w="0" w:type="dxa"/>
        </w:tblCellMar>
      </w:tblPr>
      <w:tr>
        <w:trPr>
          <w:trHeight w:val="190"/>
        </w:trPr>
        <w:tc>
          <w:tcPr>
            <w:tcW w:w="640" w:type="dxa"/>
            <w:vAlign w:val="bottom"/>
          </w:tcPr>
          <w:p>
            <w:pPr>
              <w:jc w:val="right"/>
              <w:spacing w:after="0"/>
              <w:rPr>
                <w:sz w:val="20"/>
                <w:szCs w:val="20"/>
                <w:color w:val="auto"/>
              </w:rPr>
            </w:pPr>
            <w:r>
              <w:rPr>
                <w:rFonts w:ascii="Arial" w:cs="Arial" w:eastAsia="Arial" w:hAnsi="Arial"/>
                <w:sz w:val="16"/>
                <w:szCs w:val="16"/>
                <w:color w:val="auto"/>
              </w:rPr>
              <w:t>(477.2)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(80.8)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123.7</w:t>
            </w:r>
          </w:p>
        </w:tc>
      </w:tr>
      <w:tr>
        <w:trPr>
          <w:trHeight w:val="560"/>
        </w:trPr>
        <w:tc>
          <w:tcPr>
            <w:tcW w:w="640" w:type="dxa"/>
            <w:vAlign w:val="bottom"/>
          </w:tcPr>
          <w:p>
            <w:pPr>
              <w:jc w:val="right"/>
              <w:spacing w:after="0"/>
              <w:rPr>
                <w:sz w:val="20"/>
                <w:szCs w:val="20"/>
                <w:color w:val="auto"/>
              </w:rPr>
            </w:pPr>
            <w:r>
              <w:rPr>
                <w:rFonts w:ascii="Arial" w:cs="Arial" w:eastAsia="Arial" w:hAnsi="Arial"/>
                <w:sz w:val="16"/>
                <w:szCs w:val="16"/>
                <w:color w:val="auto"/>
              </w:rPr>
              <w:t>173.9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110.8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89.1</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11.0</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11.5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10.1</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472.3</w:t>
            </w:r>
          </w:p>
        </w:tc>
        <w:tc>
          <w:tcPr>
            <w:tcW w:w="9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17.3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17.5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9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9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23.4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18.5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14.3</w:t>
            </w:r>
          </w:p>
        </w:tc>
      </w:tr>
      <w:tr>
        <w:trPr>
          <w:trHeight w:val="69"/>
        </w:trPr>
        <w:tc>
          <w:tcPr>
            <w:tcW w:w="640" w:type="dxa"/>
            <w:vAlign w:val="bottom"/>
            <w:tcBorders>
              <w:bottom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r>
      <w:tr>
        <w:trPr>
          <w:trHeight w:val="194"/>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9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9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78"/>
        </w:trPr>
        <w:tc>
          <w:tcPr>
            <w:tcW w:w="640" w:type="dxa"/>
            <w:vAlign w:val="bottom"/>
          </w:tcPr>
          <w:p>
            <w:pPr>
              <w:jc w:val="right"/>
              <w:spacing w:after="0"/>
              <w:rPr>
                <w:sz w:val="20"/>
                <w:szCs w:val="20"/>
                <w:color w:val="auto"/>
              </w:rPr>
            </w:pPr>
            <w:r>
              <w:rPr>
                <w:rFonts w:ascii="Arial" w:cs="Arial" w:eastAsia="Arial" w:hAnsi="Arial"/>
                <w:sz w:val="16"/>
                <w:szCs w:val="16"/>
                <w:color w:val="auto"/>
              </w:rPr>
              <w:t>58.7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(44.8)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43.0</w:t>
            </w:r>
          </w:p>
        </w:tc>
      </w:tr>
      <w:tr>
        <w:trPr>
          <w:trHeight w:val="560"/>
        </w:trPr>
        <w:tc>
          <w:tcPr>
            <w:tcW w:w="640" w:type="dxa"/>
            <w:vAlign w:val="bottom"/>
          </w:tcPr>
          <w:p>
            <w:pPr>
              <w:jc w:val="right"/>
              <w:spacing w:after="0"/>
              <w:rPr>
                <w:sz w:val="20"/>
                <w:szCs w:val="20"/>
                <w:color w:val="auto"/>
              </w:rPr>
            </w:pPr>
            <w:r>
              <w:rPr>
                <w:rFonts w:ascii="Arial" w:cs="Arial" w:eastAsia="Arial" w:hAnsi="Arial"/>
                <w:sz w:val="16"/>
                <w:szCs w:val="16"/>
                <w:color w:val="auto"/>
              </w:rPr>
              <w:t>50.7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50.7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50.7</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7.5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4.7</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9.1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8.8</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9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(3.5)</w:t>
            </w:r>
          </w:p>
        </w:tc>
        <w:tc>
          <w:tcPr>
            <w:tcW w:w="9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0.7</w:t>
            </w:r>
          </w:p>
        </w:tc>
        <w:tc>
          <w:tcPr>
            <w:tcW w:w="9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9.5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280"/>
        </w:trPr>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74"/>
        </w:trPr>
        <w:tc>
          <w:tcPr>
            <w:tcW w:w="64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r>
        <w:trPr>
          <w:trHeight w:val="191"/>
        </w:trPr>
        <w:tc>
          <w:tcPr>
            <w:tcW w:w="640" w:type="dxa"/>
            <w:vAlign w:val="bottom"/>
          </w:tcPr>
          <w:p>
            <w:pPr>
              <w:jc w:val="right"/>
              <w:spacing w:after="0"/>
              <w:rPr>
                <w:sz w:val="20"/>
                <w:szCs w:val="20"/>
                <w:color w:val="auto"/>
              </w:rPr>
            </w:pPr>
            <w:r>
              <w:rPr>
                <w:rFonts w:ascii="Arial" w:cs="Arial" w:eastAsia="Arial" w:hAnsi="Arial"/>
                <w:sz w:val="16"/>
                <w:szCs w:val="16"/>
                <w:color w:val="auto"/>
              </w:rPr>
              <w:t>$140.8</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$31.4</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$127.5</w:t>
            </w: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980"/>
        <w:spacing w:after="0" w:line="289" w:lineRule="auto"/>
        <w:rPr>
          <w:sz w:val="20"/>
          <w:szCs w:val="20"/>
          <w:color w:val="auto"/>
        </w:rPr>
      </w:pPr>
      <w:r>
        <w:rPr>
          <w:rFonts w:ascii="Arial" w:cs="Arial" w:eastAsia="Arial" w:hAnsi="Arial"/>
          <w:sz w:val="11"/>
          <w:szCs w:val="11"/>
          <w:color w:val="auto"/>
        </w:rPr>
        <w:t>Management believes that presenting certain non-GAAP financial measures noted above enhances an investor's understanding of Vistance Network's financial performance when considered together with the GAAP financial measures. Management further believes that these non-GAAP financial measures are useful in assessing Vistance Network's operating performance from period to period by excluding certain items that it believes are not representative of its core business. In addition, Management uses certain of these financial measures for business planning purposes and in measuring Vistance Network's performance relative to that of its competitors.</w:t>
      </w:r>
    </w:p>
    <w:p>
      <w:pPr>
        <w:spacing w:after="0" w:line="329" w:lineRule="exact"/>
        <w:rPr>
          <w:sz w:val="20"/>
          <w:szCs w:val="20"/>
          <w:color w:val="auto"/>
        </w:rPr>
      </w:pPr>
    </w:p>
    <w:p>
      <w:pPr>
        <w:sectPr>
          <w:pgSz w:w="11880" w:h="15480" w:orient="portrait"/>
          <w:cols w:equalWidth="0" w:num="2">
            <w:col w:w="3760" w:space="660"/>
            <w:col w:w="5900"/>
          </w:cols>
          <w:pgMar w:left="1080" w:top="738" w:right="4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760"/>
        <w:spacing w:after="0"/>
        <w:tabs>
          <w:tab w:leader="none" w:pos="10180" w:val="left"/>
        </w:tabs>
        <w:rPr>
          <w:sz w:val="20"/>
          <w:szCs w:val="20"/>
          <w:color w:val="auto"/>
        </w:rPr>
      </w:pPr>
      <w:r>
        <w:rPr>
          <w:rFonts w:ascii="Arial" w:cs="Arial" w:eastAsia="Arial" w:hAnsi="Arial"/>
          <w:sz w:val="18"/>
          <w:szCs w:val="18"/>
          <w:color w:val="auto"/>
        </w:rPr>
        <w:t>2025 Annual Report</w:t>
      </w:r>
      <w:r>
        <w:rPr>
          <w:sz w:val="20"/>
          <w:szCs w:val="20"/>
          <w:color w:val="auto"/>
        </w:rPr>
        <w:tab/>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-67945</wp:posOffset>
                </wp:positionV>
                <wp:extent cx="529399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3995" cy="4763"/>
                        </a:xfrm>
                        <a:prstGeom prst="line">
                          <a:avLst/>
                        </a:prstGeom>
                        <a:solidFill>
                          <a:srgbClr val="FFFFFF"/>
                        </a:solidFill>
                        <a:ln w="14693">
                          <a:solidFill>
                            <a:srgbClr val="CCCCCC"/>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5.3499pt" to="362.85pt,-5.3499pt" o:allowincell="f" strokecolor="#CCCCCC" strokeweight="1.1569pt"/>
            </w:pict>
          </mc:Fallback>
        </mc:AlternateContent>
      </w:r>
    </w:p>
    <w:p>
      <w:pPr>
        <w:sectPr>
          <w:pgSz w:w="11880" w:h="15480" w:orient="portrait"/>
          <w:cols w:equalWidth="0" w:num="1">
            <w:col w:w="10320"/>
          </w:cols>
          <w:pgMar w:left="1080" w:top="738" w:right="480" w:bottom="0" w:gutter="0" w:footer="0" w:header="0"/>
          <w:type w:val="continuous"/>
        </w:sectPr>
      </w:pPr>
    </w:p>
    <w:bookmarkStart w:id="9" w:name="page10"/>
    <w:bookmarkEnd w:id="9"/>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
          <w:szCs w:val="2"/>
          <w:color w:val="1E1E1E"/>
          <w:highlight w:val="white"/>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8580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858000" cy="6350"/>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1E1E1E"/>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68580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6858000"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1E1E1E"/>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1E1E1E"/>
        </w:rPr>
        <w:t>Washington, D.C. 20549</w:t>
      </w:r>
    </w:p>
    <w:p>
      <w:pPr>
        <w:jc w:val="center"/>
        <w:spacing w:after="0"/>
        <w:rPr>
          <w:sz w:val="20"/>
          <w:szCs w:val="20"/>
          <w:color w:val="auto"/>
        </w:rPr>
      </w:pPr>
      <w:r>
        <w:rPr>
          <w:rFonts w:ascii="Times New Roman" w:cs="Times New Roman" w:eastAsia="Times New Roman" w:hAnsi="Times New Roman"/>
          <w:sz w:val="32"/>
          <w:szCs w:val="32"/>
          <w:b w:val="1"/>
          <w:bCs w:val="1"/>
          <w:color w:val="1E1E1E"/>
        </w:rPr>
        <w:t>FORM 10-K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E1E1E"/>
        </w:rPr>
        <w:t>(Mark One)</w:t>
      </w:r>
    </w:p>
    <w:p>
      <w:pPr>
        <w:ind w:left="3520" w:right="120" w:hanging="3412"/>
        <w:spacing w:after="0" w:line="269" w:lineRule="auto"/>
        <w:tabs>
          <w:tab w:leader="none" w:pos="913" w:val="left"/>
        </w:tabs>
        <w:numPr>
          <w:ilvl w:val="0"/>
          <w:numId w:val="12"/>
        </w:numPr>
        <w:rPr>
          <w:rFonts w:ascii="Segoe UI Symbol" w:cs="Segoe UI Symbol" w:eastAsia="Segoe UI Symbol" w:hAnsi="Segoe UI Symbol"/>
          <w:sz w:val="20"/>
          <w:szCs w:val="20"/>
          <w:color w:val="1E1E1E"/>
        </w:rPr>
      </w:pPr>
      <w:r>
        <w:rPr>
          <w:rFonts w:ascii="Times New Roman" w:cs="Times New Roman" w:eastAsia="Times New Roman" w:hAnsi="Times New Roman"/>
          <w:sz w:val="20"/>
          <w:szCs w:val="20"/>
          <w:b w:val="1"/>
          <w:bCs w:val="1"/>
          <w:color w:val="1E1E1E"/>
        </w:rPr>
        <w:t>ANNUAL REPORT PURSUANT TO SECTION 13 OR 15(d) OF THE SECURITIES EXCHANGE ACT OF 1934 For the fiscal year ended December 31, 2025</w:t>
      </w:r>
    </w:p>
    <w:p>
      <w:pPr>
        <w:ind w:left="5260"/>
        <w:spacing w:after="0"/>
        <w:rPr>
          <w:rFonts w:ascii="Segoe UI Symbol" w:cs="Segoe UI Symbol" w:eastAsia="Segoe UI Symbol" w:hAnsi="Segoe UI Symbol"/>
          <w:sz w:val="20"/>
          <w:szCs w:val="20"/>
          <w:color w:val="1E1E1E"/>
        </w:rPr>
      </w:pPr>
      <w:r>
        <w:rPr>
          <w:rFonts w:ascii="Times New Roman" w:cs="Times New Roman" w:eastAsia="Times New Roman" w:hAnsi="Times New Roman"/>
          <w:sz w:val="20"/>
          <w:szCs w:val="20"/>
          <w:b w:val="1"/>
          <w:bCs w:val="1"/>
          <w:color w:val="1E1E1E"/>
        </w:rPr>
        <w:t>OR</w:t>
      </w:r>
    </w:p>
    <w:p>
      <w:pPr>
        <w:spacing w:after="0" w:line="60" w:lineRule="exact"/>
        <w:rPr>
          <w:sz w:val="20"/>
          <w:szCs w:val="20"/>
          <w:color w:val="auto"/>
        </w:rPr>
      </w:pPr>
    </w:p>
    <w:p>
      <w:pPr>
        <w:ind w:left="900" w:right="160" w:hanging="792"/>
        <w:spacing w:after="0" w:line="222" w:lineRule="auto"/>
        <w:tabs>
          <w:tab w:leader="none" w:pos="900" w:val="left"/>
        </w:tabs>
        <w:numPr>
          <w:ilvl w:val="0"/>
          <w:numId w:val="13"/>
        </w:numPr>
        <w:rPr>
          <w:rFonts w:ascii="Segoe UI Symbol" w:cs="Segoe UI Symbol" w:eastAsia="Segoe UI Symbol" w:hAnsi="Segoe UI Symbol"/>
          <w:sz w:val="20"/>
          <w:szCs w:val="20"/>
          <w:color w:val="1E1E1E"/>
        </w:rPr>
      </w:pPr>
      <w:r>
        <w:rPr>
          <w:rFonts w:ascii="Times New Roman" w:cs="Times New Roman" w:eastAsia="Times New Roman" w:hAnsi="Times New Roman"/>
          <w:sz w:val="20"/>
          <w:szCs w:val="20"/>
          <w:b w:val="1"/>
          <w:bCs w:val="1"/>
          <w:color w:val="1E1E1E"/>
        </w:rPr>
        <w:t>TRANSITION REPORT PURSUANT TO SECTION 13 OR 15(d) OF THE SECURITIES EXCHANGE ACT OF 1934</w:t>
      </w:r>
    </w:p>
    <w:p>
      <w:pPr>
        <w:spacing w:after="0" w:line="1" w:lineRule="exact"/>
        <w:rPr>
          <w:sz w:val="20"/>
          <w:szCs w:val="20"/>
          <w:color w:val="auto"/>
        </w:rPr>
      </w:pPr>
    </w:p>
    <w:p>
      <w:pPr>
        <w:ind w:left="3720"/>
        <w:spacing w:after="0"/>
        <w:tabs>
          <w:tab w:leader="none" w:pos="6900" w:val="left"/>
        </w:tabs>
        <w:rPr>
          <w:sz w:val="20"/>
          <w:szCs w:val="20"/>
          <w:color w:val="auto"/>
        </w:rPr>
      </w:pPr>
      <w:r>
        <w:rPr>
          <w:rFonts w:ascii="Times New Roman" w:cs="Times New Roman" w:eastAsia="Times New Roman" w:hAnsi="Times New Roman"/>
          <w:sz w:val="20"/>
          <w:szCs w:val="20"/>
          <w:b w:val="1"/>
          <w:bCs w:val="1"/>
          <w:color w:val="1E1E1E"/>
        </w:rPr>
        <w:t>For the transition period from</w:t>
      </w:r>
      <w:r>
        <w:rPr>
          <w:sz w:val="20"/>
          <w:szCs w:val="20"/>
          <w:color w:val="auto"/>
        </w:rPr>
        <w:tab/>
      </w:r>
      <w:r>
        <w:rPr>
          <w:rFonts w:ascii="Times New Roman" w:cs="Times New Roman" w:eastAsia="Times New Roman" w:hAnsi="Times New Roman"/>
          <w:sz w:val="19"/>
          <w:szCs w:val="19"/>
          <w:b w:val="1"/>
          <w:bCs w:val="1"/>
          <w:color w:val="1E1E1E"/>
        </w:rPr>
        <w:t>to</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Commission file number: 001-36146</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1E1E1E"/>
          <w:highlight w:val="white"/>
        </w:rPr>
        <w:t>Vistance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-299085</wp:posOffset>
            </wp:positionV>
            <wp:extent cx="2032000"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2032000" cy="12700"/>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(Exact name of registrant as specified in its charter)</w:t>
      </w:r>
    </w:p>
    <w:p>
      <w:pPr>
        <w:sectPr>
          <w:pgSz w:w="11880" w:h="15480" w:orient="portrait"/>
          <w:cols w:equalWidth="0" w:num="1">
            <w:col w:w="10800"/>
          </w:cols>
          <w:pgMar w:left="540" w:top="767" w:right="540" w:bottom="449" w:gutter="0" w:footer="0" w:header="0"/>
        </w:sectPr>
      </w:pPr>
    </w:p>
    <w:p>
      <w:pPr>
        <w:spacing w:after="0" w:line="6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b w:val="1"/>
          <w:bCs w:val="1"/>
          <w:color w:val="1E1E1E"/>
        </w:rPr>
        <w:t>Delaware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27-4332098</w:t>
      </w:r>
    </w:p>
    <w:p>
      <w:pPr>
        <w:spacing w:after="0" w:line="19" w:lineRule="exact"/>
        <w:rPr>
          <w:sz w:val="20"/>
          <w:szCs w:val="20"/>
          <w:color w:val="auto"/>
        </w:rPr>
      </w:pPr>
    </w:p>
    <w:p>
      <w:pPr>
        <w:sectPr>
          <w:pgSz w:w="11880" w:h="15480" w:orient="portrait"/>
          <w:cols w:equalWidth="0" w:num="2">
            <w:col w:w="6900" w:space="720"/>
            <w:col w:w="3180"/>
          </w:cols>
          <w:pgMar w:left="540" w:top="767" w:right="540" w:bottom="449"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1E1E1E"/>
        </w:rPr>
        <w:t>(State or other jurisdiction of</w:t>
      </w:r>
    </w:p>
    <w:p>
      <w:pPr>
        <w:ind w:left="1740"/>
        <w:spacing w:after="0"/>
        <w:rPr>
          <w:sz w:val="20"/>
          <w:szCs w:val="20"/>
          <w:color w:val="auto"/>
        </w:rPr>
      </w:pPr>
      <w:r>
        <w:rPr>
          <w:rFonts w:ascii="Times New Roman" w:cs="Times New Roman" w:eastAsia="Times New Roman" w:hAnsi="Times New Roman"/>
          <w:sz w:val="15"/>
          <w:szCs w:val="15"/>
          <w:color w:val="1E1E1E"/>
        </w:rPr>
        <w:t>incorporation or organization)</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6"/>
          <w:szCs w:val="16"/>
          <w:color w:val="1E1E1E"/>
        </w:rPr>
        <w:t>(I.R.S. Employer</w:t>
      </w:r>
    </w:p>
    <w:p>
      <w:pPr>
        <w:spacing w:after="0"/>
        <w:rPr>
          <w:sz w:val="20"/>
          <w:szCs w:val="20"/>
          <w:color w:val="auto"/>
        </w:rPr>
      </w:pPr>
      <w:r>
        <w:rPr>
          <w:rFonts w:ascii="Times New Roman" w:cs="Times New Roman" w:eastAsia="Times New Roman" w:hAnsi="Times New Roman"/>
          <w:sz w:val="16"/>
          <w:szCs w:val="16"/>
          <w:color w:val="1E1E1E"/>
        </w:rPr>
        <w:t>Identification No.)</w:t>
      </w:r>
    </w:p>
    <w:p>
      <w:pPr>
        <w:spacing w:after="0" w:line="77" w:lineRule="exact"/>
        <w:rPr>
          <w:sz w:val="20"/>
          <w:szCs w:val="20"/>
          <w:color w:val="auto"/>
        </w:rPr>
      </w:pPr>
    </w:p>
    <w:p>
      <w:pPr>
        <w:sectPr>
          <w:pgSz w:w="11880" w:h="15480" w:orient="portrait"/>
          <w:cols w:equalWidth="0" w:num="2">
            <w:col w:w="6780" w:space="720"/>
            <w:col w:w="3300"/>
          </w:cols>
          <w:pgMar w:left="540" w:top="767" w:right="540" w:bottom="449"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9"/>
          <w:szCs w:val="19"/>
          <w:b w:val="1"/>
          <w:bCs w:val="1"/>
          <w:color w:val="1E1E1E"/>
        </w:rPr>
        <w:t>2601 Telecom Parkway</w:t>
      </w:r>
    </w:p>
    <w:p>
      <w:pPr>
        <w:spacing w:after="0" w:line="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0"/>
          <w:szCs w:val="20"/>
          <w:b w:val="1"/>
          <w:bCs w:val="1"/>
          <w:color w:val="1E1E1E"/>
        </w:rPr>
        <w:t>Richardson, Texas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1E1E1E"/>
        </w:rPr>
        <w:t>75082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(Zip Code)</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Times New Roman" w:cs="Times New Roman" w:eastAsia="Times New Roman" w:hAnsi="Times New Roman"/>
          <w:sz w:val="20"/>
          <w:szCs w:val="20"/>
          <w:b w:val="1"/>
          <w:bCs w:val="1"/>
          <w:color w:val="1E1E1E"/>
        </w:rPr>
        <w:t>(972) 952-9700</w:t>
      </w:r>
    </w:p>
    <w:p>
      <w:pPr>
        <w:spacing w:after="0" w:line="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1E1E1E"/>
        </w:rPr>
        <w:t>(Registrant's telephone number, including area code)</w:t>
      </w:r>
    </w:p>
    <w:p>
      <w:pPr>
        <w:spacing w:after="0" w:line="53" w:lineRule="exact"/>
        <w:rPr>
          <w:sz w:val="20"/>
          <w:szCs w:val="20"/>
          <w:color w:val="auto"/>
        </w:rPr>
      </w:pPr>
    </w:p>
    <w:p>
      <w:pPr>
        <w:sectPr>
          <w:pgSz w:w="11880" w:h="15480" w:orient="portrait"/>
          <w:cols w:equalWidth="0" w:num="3">
            <w:col w:w="4240" w:space="720"/>
            <w:col w:w="880" w:space="420"/>
            <w:col w:w="4540"/>
          </w:cols>
          <w:pgMar w:left="540" w:top="767" w:right="540" w:bottom="449" w:gutter="0" w:footer="0" w:header="0"/>
          <w:type w:val="continuous"/>
        </w:sectPr>
      </w:pPr>
    </w:p>
    <w:p>
      <w:pPr>
        <w:ind w:left="840"/>
        <w:spacing w:after="0"/>
        <w:rPr>
          <w:sz w:val="20"/>
          <w:szCs w:val="20"/>
          <w:color w:val="auto"/>
        </w:rPr>
      </w:pPr>
      <w:r>
        <w:rPr>
          <w:rFonts w:ascii="Times New Roman" w:cs="Times New Roman" w:eastAsia="Times New Roman" w:hAnsi="Times New Roman"/>
          <w:sz w:val="20"/>
          <w:szCs w:val="20"/>
          <w:color w:val="1E1E1E"/>
        </w:rPr>
        <w:t>(Address of principal executive offices)</w:t>
      </w:r>
    </w:p>
    <w:p>
      <w:pPr>
        <w:sectPr>
          <w:pgSz w:w="11880" w:h="15480" w:orient="portrait"/>
          <w:cols w:equalWidth="0" w:num="1">
            <w:col w:w="10800"/>
          </w:cols>
          <w:pgMar w:left="540" w:top="767" w:right="540" w:bottom="449" w:gutter="0" w:footer="0" w:header="0"/>
          <w:type w:val="continuous"/>
        </w:sectPr>
      </w:pP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1E1E1E"/>
        </w:rPr>
        <w:t>CommScope Holding Company, Inc.</w:t>
      </w:r>
    </w:p>
    <w:p>
      <w:pPr>
        <w:spacing w:after="0" w:line="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1E1E1E"/>
        </w:rPr>
        <w:t>(Former name or former address, if changed since last report.)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Securities registered pursuant to Section 12(b) of the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spacing w:after="0"/>
              <w:rPr>
                <w:sz w:val="17"/>
                <w:szCs w:val="17"/>
                <w:color w:val="auto"/>
              </w:rPr>
            </w:pPr>
          </w:p>
        </w:tc>
        <w:tc>
          <w:tcPr>
            <w:tcW w:w="12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highlight w:val="white"/>
                <w:w w:val="99"/>
              </w:rPr>
              <w:t>Title of each class</w:t>
            </w:r>
          </w:p>
        </w:tc>
        <w:tc>
          <w:tcPr>
            <w:tcW w:w="560" w:type="dxa"/>
            <w:vAlign w:val="bottom"/>
            <w:tcBorders>
              <w:bottom w:val="single" w:sz="8" w:color="1E1E1E"/>
            </w:tcBorders>
          </w:tcPr>
          <w:p>
            <w:pPr>
              <w:spacing w:after="0"/>
              <w:rPr>
                <w:sz w:val="17"/>
                <w:szCs w:val="17"/>
                <w:color w:val="auto"/>
              </w:rPr>
            </w:pPr>
          </w:p>
        </w:tc>
        <w:tc>
          <w:tcPr>
            <w:tcW w:w="48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1E1E1E"/>
                <w:highlight w:val="white"/>
                <w:w w:val="99"/>
              </w:rPr>
              <w:t>Trading symbol</w:t>
            </w:r>
          </w:p>
        </w:tc>
        <w:tc>
          <w:tcPr>
            <w:tcW w:w="160" w:type="dxa"/>
            <w:vAlign w:val="bottom"/>
            <w:tcBorders>
              <w:bottom w:val="single" w:sz="8" w:color="1E1E1E"/>
            </w:tcBorders>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2960" w:type="dxa"/>
            <w:vAlign w:val="bottom"/>
            <w:tcBorders>
              <w:bottom w:val="single" w:sz="8" w:color="1E1E1E"/>
            </w:tcBorders>
            <w:gridSpan w:val="4"/>
          </w:tcPr>
          <w:p>
            <w:pPr>
              <w:spacing w:after="0"/>
              <w:rPr>
                <w:sz w:val="20"/>
                <w:szCs w:val="20"/>
                <w:color w:val="auto"/>
              </w:rPr>
            </w:pPr>
            <w:r>
              <w:rPr>
                <w:rFonts w:ascii="Times New Roman" w:cs="Times New Roman" w:eastAsia="Times New Roman" w:hAnsi="Times New Roman"/>
                <w:sz w:val="16"/>
                <w:szCs w:val="16"/>
                <w:b w:val="1"/>
                <w:bCs w:val="1"/>
                <w:color w:val="1E1E1E"/>
                <w:highlight w:val="white"/>
                <w:w w:val="98"/>
              </w:rPr>
              <w:t>Name of each exchange on which registered</w:t>
            </w:r>
          </w:p>
        </w:tc>
        <w:tc>
          <w:tcPr>
            <w:tcW w:w="320" w:type="dxa"/>
            <w:vAlign w:val="bottom"/>
            <w:tcBorders>
              <w:bottom w:val="single" w:sz="8" w:color="1E1E1E"/>
            </w:tcBorders>
          </w:tcPr>
          <w:p>
            <w:pPr>
              <w:spacing w:after="0"/>
              <w:rPr>
                <w:sz w:val="17"/>
                <w:szCs w:val="17"/>
                <w:color w:val="auto"/>
              </w:rPr>
            </w:pPr>
          </w:p>
        </w:tc>
      </w:tr>
      <w:tr>
        <w:trPr>
          <w:trHeight w:val="220"/>
        </w:trPr>
        <w:tc>
          <w:tcPr>
            <w:tcW w:w="780" w:type="dxa"/>
            <w:vAlign w:val="bottom"/>
          </w:tcPr>
          <w:p>
            <w:pPr>
              <w:spacing w:after="0"/>
              <w:rPr>
                <w:sz w:val="19"/>
                <w:szCs w:val="19"/>
                <w:color w:val="auto"/>
              </w:rPr>
            </w:pPr>
          </w:p>
        </w:tc>
        <w:tc>
          <w:tcPr>
            <w:tcW w:w="3280" w:type="dxa"/>
            <w:vAlign w:val="bottom"/>
            <w:gridSpan w:val="4"/>
          </w:tcPr>
          <w:p>
            <w:pPr>
              <w:jc w:val="center"/>
              <w:spacing w:after="0" w:line="220" w:lineRule="exact"/>
              <w:rPr>
                <w:sz w:val="20"/>
                <w:szCs w:val="20"/>
                <w:color w:val="auto"/>
              </w:rPr>
            </w:pPr>
            <w:r>
              <w:rPr>
                <w:rFonts w:ascii="Times New Roman" w:cs="Times New Roman" w:eastAsia="Times New Roman" w:hAnsi="Times New Roman"/>
                <w:sz w:val="20"/>
                <w:szCs w:val="20"/>
                <w:color w:val="1E1E1E"/>
                <w:highlight w:val="white"/>
              </w:rPr>
              <w:t>Common Stock, par value $.01 per share</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1E1E1E"/>
                <w:highlight w:val="white"/>
              </w:rPr>
              <w:t>VISN</w:t>
            </w:r>
          </w:p>
        </w:tc>
        <w:tc>
          <w:tcPr>
            <w:tcW w:w="46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highlight w:val="white"/>
                <w:w w:val="96"/>
              </w:rPr>
              <w:t>Nasdaq</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91"/>
        </w:trPr>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20" w:type="dxa"/>
            <w:vAlign w:val="bottom"/>
            <w:gridSpan w:val="15"/>
          </w:tcPr>
          <w:p>
            <w:pPr>
              <w:ind w:left="960"/>
              <w:spacing w:after="0"/>
              <w:rPr>
                <w:sz w:val="20"/>
                <w:szCs w:val="20"/>
                <w:color w:val="auto"/>
              </w:rPr>
            </w:pPr>
            <w:r>
              <w:rPr>
                <w:rFonts w:ascii="Times New Roman" w:cs="Times New Roman" w:eastAsia="Times New Roman" w:hAnsi="Times New Roman"/>
                <w:sz w:val="20"/>
                <w:szCs w:val="20"/>
                <w:color w:val="1E1E1E"/>
              </w:rPr>
              <w:t xml:space="preserve">Securities registered pursuant to Section 12(g) of the Act: </w:t>
            </w:r>
            <w:r>
              <w:rPr>
                <w:rFonts w:ascii="Times New Roman" w:cs="Times New Roman" w:eastAsia="Times New Roman" w:hAnsi="Times New Roman"/>
                <w:sz w:val="20"/>
                <w:szCs w:val="20"/>
                <w:b w:val="1"/>
                <w:bCs w:val="1"/>
                <w:color w:val="1E1E1E"/>
              </w:rPr>
              <w:t>NONE</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0"/>
        </w:trPr>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1E1E1E"/>
              </w:rPr>
              <w:t xml:space="preserve">Indicate by check mark if the registrant is a well-known seasoned issuer, as defined in Rule 405 of the Securities Act. Yes </w:t>
            </w:r>
            <w:r>
              <w:rPr>
                <w:rFonts w:ascii="Segoe UI Symbol" w:cs="Segoe UI Symbol" w:eastAsia="Segoe UI Symbol" w:hAnsi="Segoe UI Symbol"/>
                <w:sz w:val="18"/>
                <w:szCs w:val="18"/>
                <w:color w:val="1E1E1E"/>
              </w:rPr>
              <w:t>☒</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1E1E1E"/>
              </w:rPr>
              <w:t xml:space="preserve">No </w:t>
            </w:r>
            <w:r>
              <w:rPr>
                <w:rFonts w:ascii="Segoe UI Symbol" w:cs="Segoe UI Symbol" w:eastAsia="Segoe UI Symbol" w:hAnsi="Segoe UI Symbol"/>
                <w:sz w:val="18"/>
                <w:szCs w:val="18"/>
                <w:color w:val="1E1E1E"/>
              </w:rPr>
              <w:t>☐</w:t>
            </w:r>
          </w:p>
        </w:tc>
      </w:tr>
      <w:tr>
        <w:trPr>
          <w:trHeight w:val="268"/>
        </w:trPr>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1E1E1E"/>
              </w:rPr>
              <w:t xml:space="preserve">Indicate by check mark if the registrant is not required to file reports pursuant to Section 13 or Section 15(d) of the Act. Yes </w:t>
            </w:r>
            <w:r>
              <w:rPr>
                <w:rFonts w:ascii="Segoe UI Symbol" w:cs="Segoe UI Symbol" w:eastAsia="Segoe UI Symbol" w:hAnsi="Segoe UI Symbol"/>
                <w:sz w:val="18"/>
                <w:szCs w:val="18"/>
                <w:color w:val="1E1E1E"/>
              </w:rPr>
              <w:t>☐</w:t>
            </w: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1E1E1E"/>
              </w:rPr>
              <w:t xml:space="preserve">No </w:t>
            </w:r>
            <w:r>
              <w:rPr>
                <w:rFonts w:ascii="Segoe UI Symbol" w:cs="Segoe UI Symbol" w:eastAsia="Segoe UI Symbol" w:hAnsi="Segoe UI Symbol"/>
                <w:sz w:val="18"/>
                <w:szCs w:val="18"/>
                <w:color w:val="1E1E1E"/>
              </w:rPr>
              <w:t>☒</w:t>
            </w:r>
          </w:p>
        </w:tc>
      </w:tr>
      <w:tr>
        <w:trPr>
          <w:trHeight w:val="187"/>
        </w:trPr>
        <w:tc>
          <w:tcPr>
            <w:tcW w:w="108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1E1E1E"/>
              </w:rPr>
              <w:t>Indicate by check mark whether the registrant (1) has filed all reports required to be filed by Section 13 or 15(d) of the Securities Exchange Act of</w:t>
            </w:r>
          </w:p>
        </w:tc>
      </w:tr>
      <w:tr>
        <w:trPr>
          <w:trHeight w:val="180"/>
        </w:trPr>
        <w:tc>
          <w:tcPr>
            <w:tcW w:w="10800" w:type="dxa"/>
            <w:vAlign w:val="bottom"/>
            <w:gridSpan w:val="19"/>
          </w:tcPr>
          <w:p>
            <w:pPr>
              <w:spacing w:after="0" w:line="180" w:lineRule="exact"/>
              <w:rPr>
                <w:sz w:val="20"/>
                <w:szCs w:val="20"/>
                <w:color w:val="auto"/>
              </w:rPr>
            </w:pPr>
            <w:r>
              <w:rPr>
                <w:rFonts w:ascii="Times New Roman" w:cs="Times New Roman" w:eastAsia="Times New Roman" w:hAnsi="Times New Roman"/>
                <w:sz w:val="18"/>
                <w:szCs w:val="18"/>
                <w:color w:val="1E1E1E"/>
              </w:rPr>
              <w:t>1934 during the preceding 12 months (or such shorter period that the registrant was required to file such reports), and (2) has been subject to such</w:t>
            </w:r>
          </w:p>
        </w:tc>
      </w:tr>
      <w:tr>
        <w:trPr>
          <w:trHeight w:val="0"/>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1E1E1E"/>
              </w:rPr>
              <w:t xml:space="preserve">filing requirements for the past 90 days. Yes </w:t>
            </w:r>
            <w:r>
              <w:rPr>
                <w:rFonts w:ascii="Segoe UI Symbol" w:cs="Segoe UI Symbol" w:eastAsia="Segoe UI Symbol" w:hAnsi="Segoe UI Symbol"/>
                <w:sz w:val="18"/>
                <w:szCs w:val="18"/>
                <w:color w:val="1E1E1E"/>
              </w:rPr>
              <w:t>☒</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1E1E1E"/>
              </w:rPr>
              <w:t xml:space="preserve">No </w:t>
            </w:r>
            <w:r>
              <w:rPr>
                <w:rFonts w:ascii="Segoe UI Symbol" w:cs="Segoe UI Symbol" w:eastAsia="Segoe UI Symbol" w:hAnsi="Segoe UI Symbol"/>
                <w:sz w:val="18"/>
                <w:szCs w:val="18"/>
                <w:color w:val="1E1E1E"/>
              </w:rPr>
              <w:t>☐</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-892175</wp:posOffset>
            </wp:positionV>
            <wp:extent cx="17653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176530" cy="635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-892175</wp:posOffset>
            </wp:positionV>
            <wp:extent cx="43116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431165" cy="6350"/>
                    </a:xfrm>
                    <a:prstGeom prst="rect">
                      <a:avLst/>
                    </a:prstGeom>
                    <a:noFill/>
                  </pic:spPr>
                </pic:pic>
              </a:graphicData>
            </a:graphic>
          </wp:anchor>
        </w:drawing>
      </w:r>
    </w:p>
    <w:p>
      <w:pPr>
        <w:spacing w:after="0" w:line="213"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8"/>
          <w:szCs w:val="18"/>
          <w:color w:val="1E1E1E"/>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Symbol" w:cs="Segoe UI Symbol" w:eastAsia="Segoe UI Symbol" w:hAnsi="Segoe UI Symbol"/>
          <w:sz w:val="18"/>
          <w:szCs w:val="18"/>
          <w:color w:val="1E1E1E"/>
        </w:rPr>
        <w:t>☒</w:t>
      </w:r>
      <w:r>
        <w:rPr>
          <w:rFonts w:ascii="Times New Roman" w:cs="Times New Roman" w:eastAsia="Times New Roman" w:hAnsi="Times New Roman"/>
          <w:sz w:val="18"/>
          <w:szCs w:val="18"/>
          <w:color w:val="1E1E1E"/>
        </w:rPr>
        <w:t xml:space="preserve"> No </w:t>
      </w:r>
      <w:r>
        <w:rPr>
          <w:rFonts w:ascii="Segoe UI Symbol" w:cs="Segoe UI Symbol" w:eastAsia="Segoe UI Symbol" w:hAnsi="Segoe UI Symbol"/>
          <w:sz w:val="18"/>
          <w:szCs w:val="18"/>
          <w:color w:val="1E1E1E"/>
        </w:rPr>
        <w:t>☐</w:t>
      </w:r>
    </w:p>
    <w:tbl>
      <w:tblPr>
        <w:tblLayout w:type="fixed"/>
        <w:tblInd w:w="0" w:type="dxa"/>
        <w:tblCellMar>
          <w:top w:w="0" w:type="dxa"/>
          <w:left w:w="0" w:type="dxa"/>
          <w:bottom w:w="0" w:type="dxa"/>
          <w:right w:w="0" w:type="dxa"/>
        </w:tblCellMar>
      </w:tblPr>
      <w:tr>
        <w:trPr>
          <w:trHeight w:val="188"/>
        </w:trPr>
        <w:tc>
          <w:tcPr>
            <w:tcW w:w="108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1E1E1E"/>
              </w:rPr>
              <w:t>Indicate by check mark whether the registrant is a large accelerated filer, an accelerated filer, a non-accelerated filer, a smaller reporting company, or</w:t>
            </w:r>
          </w:p>
        </w:tc>
      </w:tr>
      <w:tr>
        <w:trPr>
          <w:trHeight w:val="180"/>
        </w:trPr>
        <w:tc>
          <w:tcPr>
            <w:tcW w:w="10800" w:type="dxa"/>
            <w:vAlign w:val="bottom"/>
            <w:gridSpan w:val="4"/>
          </w:tcPr>
          <w:p>
            <w:pPr>
              <w:spacing w:after="0" w:line="180" w:lineRule="exact"/>
              <w:rPr>
                <w:sz w:val="20"/>
                <w:szCs w:val="20"/>
                <w:color w:val="auto"/>
              </w:rPr>
            </w:pPr>
            <w:r>
              <w:rPr>
                <w:rFonts w:ascii="Times New Roman" w:cs="Times New Roman" w:eastAsia="Times New Roman" w:hAnsi="Times New Roman"/>
                <w:sz w:val="18"/>
                <w:szCs w:val="18"/>
                <w:color w:val="1E1E1E"/>
                <w:w w:val="99"/>
              </w:rPr>
              <w:t>an emerging growth company. See the definitions of “large accelerated filer,” “accelerated filer” “smaller reporting company,” and “emerging growth</w:t>
            </w:r>
          </w:p>
        </w:tc>
      </w:tr>
      <w:tr>
        <w:trPr>
          <w:trHeight w:val="195"/>
        </w:trPr>
        <w:tc>
          <w:tcPr>
            <w:tcW w:w="57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1E1E1E"/>
              </w:rPr>
              <w:t>company” in Rule 12b-2 of the Exchange Act.</w:t>
            </w:r>
          </w:p>
        </w:tc>
        <w:tc>
          <w:tcPr>
            <w:tcW w:w="46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1E1E1E"/>
              </w:rPr>
              <w:t>Large accelerated filer</w:t>
            </w:r>
          </w:p>
        </w:tc>
        <w:tc>
          <w:tcPr>
            <w:tcW w:w="3560" w:type="dxa"/>
            <w:vAlign w:val="bottom"/>
          </w:tcPr>
          <w:p>
            <w:pPr>
              <w:ind w:left="200"/>
              <w:spacing w:after="0"/>
              <w:rPr>
                <w:sz w:val="20"/>
                <w:szCs w:val="20"/>
                <w:color w:val="auto"/>
              </w:rPr>
            </w:pPr>
            <w:r>
              <w:rPr>
                <w:rFonts w:ascii="Segoe UI Symbol" w:cs="Segoe UI Symbol" w:eastAsia="Segoe UI Symbol" w:hAnsi="Segoe UI Symbol"/>
                <w:sz w:val="18"/>
                <w:szCs w:val="18"/>
                <w:color w:val="1E1E1E"/>
              </w:rPr>
              <w:t>☒</w:t>
            </w:r>
          </w:p>
        </w:tc>
        <w:tc>
          <w:tcPr>
            <w:tcW w:w="4620" w:type="dxa"/>
            <w:vAlign w:val="bottom"/>
          </w:tcPr>
          <w:p>
            <w:pPr>
              <w:ind w:left="2400"/>
              <w:spacing w:after="0"/>
              <w:rPr>
                <w:sz w:val="20"/>
                <w:szCs w:val="20"/>
                <w:color w:val="auto"/>
              </w:rPr>
            </w:pPr>
            <w:r>
              <w:rPr>
                <w:rFonts w:ascii="Times New Roman" w:cs="Times New Roman" w:eastAsia="Times New Roman" w:hAnsi="Times New Roman"/>
                <w:sz w:val="18"/>
                <w:szCs w:val="18"/>
                <w:color w:val="1E1E1E"/>
              </w:rPr>
              <w:t>Accelerated filer</w:t>
            </w:r>
          </w:p>
        </w:tc>
        <w:tc>
          <w:tcPr>
            <w:tcW w:w="440" w:type="dxa"/>
            <w:vAlign w:val="bottom"/>
          </w:tcPr>
          <w:p>
            <w:pPr>
              <w:ind w:left="240"/>
              <w:spacing w:after="0"/>
              <w:rPr>
                <w:sz w:val="20"/>
                <w:szCs w:val="20"/>
                <w:color w:val="auto"/>
              </w:rPr>
            </w:pPr>
            <w:r>
              <w:rPr>
                <w:rFonts w:ascii="Segoe UI Symbol" w:cs="Segoe UI Symbol" w:eastAsia="Segoe UI Symbol" w:hAnsi="Segoe UI Symbol"/>
                <w:sz w:val="18"/>
                <w:szCs w:val="18"/>
                <w:color w:val="1E1E1E"/>
              </w:rPr>
              <w:t>☐</w:t>
            </w:r>
          </w:p>
        </w:tc>
      </w:tr>
      <w:tr>
        <w:trPr>
          <w:trHeight w:val="25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1E1E1E"/>
              </w:rPr>
              <w:t>Non-accelerated filer</w:t>
            </w:r>
          </w:p>
        </w:tc>
        <w:tc>
          <w:tcPr>
            <w:tcW w:w="3560" w:type="dxa"/>
            <w:vAlign w:val="bottom"/>
          </w:tcPr>
          <w:p>
            <w:pPr>
              <w:ind w:left="200"/>
              <w:spacing w:after="0"/>
              <w:rPr>
                <w:sz w:val="20"/>
                <w:szCs w:val="20"/>
                <w:color w:val="auto"/>
              </w:rPr>
            </w:pPr>
            <w:r>
              <w:rPr>
                <w:rFonts w:ascii="Segoe UI Symbol" w:cs="Segoe UI Symbol" w:eastAsia="Segoe UI Symbol" w:hAnsi="Segoe UI Symbol"/>
                <w:sz w:val="18"/>
                <w:szCs w:val="18"/>
                <w:color w:val="1E1E1E"/>
              </w:rPr>
              <w:t>☐</w:t>
            </w:r>
          </w:p>
        </w:tc>
        <w:tc>
          <w:tcPr>
            <w:tcW w:w="4620" w:type="dxa"/>
            <w:vAlign w:val="bottom"/>
          </w:tcPr>
          <w:p>
            <w:pPr>
              <w:ind w:left="2400"/>
              <w:spacing w:after="0"/>
              <w:rPr>
                <w:sz w:val="20"/>
                <w:szCs w:val="20"/>
                <w:color w:val="auto"/>
              </w:rPr>
            </w:pPr>
            <w:r>
              <w:rPr>
                <w:rFonts w:ascii="Times New Roman" w:cs="Times New Roman" w:eastAsia="Times New Roman" w:hAnsi="Times New Roman"/>
                <w:sz w:val="18"/>
                <w:szCs w:val="18"/>
                <w:color w:val="1E1E1E"/>
              </w:rPr>
              <w:t>Smaller reporting company</w:t>
            </w:r>
          </w:p>
        </w:tc>
        <w:tc>
          <w:tcPr>
            <w:tcW w:w="440" w:type="dxa"/>
            <w:vAlign w:val="bottom"/>
          </w:tcPr>
          <w:p>
            <w:pPr>
              <w:ind w:left="240"/>
              <w:spacing w:after="0"/>
              <w:rPr>
                <w:sz w:val="20"/>
                <w:szCs w:val="20"/>
                <w:color w:val="auto"/>
              </w:rPr>
            </w:pPr>
            <w:r>
              <w:rPr>
                <w:rFonts w:ascii="Segoe UI Symbol" w:cs="Segoe UI Symbol" w:eastAsia="Segoe UI Symbol" w:hAnsi="Segoe UI Symbol"/>
                <w:sz w:val="18"/>
                <w:szCs w:val="18"/>
                <w:color w:val="1E1E1E"/>
              </w:rPr>
              <w:t>☐</w:t>
            </w:r>
          </w:p>
        </w:tc>
      </w:tr>
      <w:tr>
        <w:trPr>
          <w:trHeight w:val="27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1E1E1E"/>
              </w:rPr>
              <w:t>Emerging growth company</w:t>
            </w:r>
          </w:p>
        </w:tc>
        <w:tc>
          <w:tcPr>
            <w:tcW w:w="3560" w:type="dxa"/>
            <w:vAlign w:val="bottom"/>
          </w:tcPr>
          <w:p>
            <w:pPr>
              <w:ind w:left="200"/>
              <w:spacing w:after="0"/>
              <w:rPr>
                <w:sz w:val="20"/>
                <w:szCs w:val="20"/>
                <w:color w:val="auto"/>
              </w:rPr>
            </w:pPr>
            <w:r>
              <w:rPr>
                <w:rFonts w:ascii="Segoe UI Symbol" w:cs="Segoe UI Symbol" w:eastAsia="Segoe UI Symbol" w:hAnsi="Segoe UI Symbol"/>
                <w:sz w:val="18"/>
                <w:szCs w:val="18"/>
                <w:color w:val="1E1E1E"/>
              </w:rPr>
              <w:t>☐</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ind w:right="60"/>
        <w:spacing w:after="0" w:line="225" w:lineRule="auto"/>
        <w:rPr>
          <w:sz w:val="20"/>
          <w:szCs w:val="20"/>
          <w:color w:val="auto"/>
        </w:rPr>
      </w:pPr>
      <w:r>
        <w:rPr>
          <w:rFonts w:ascii="Times New Roman" w:cs="Times New Roman" w:eastAsia="Times New Roman" w:hAnsi="Times New Roman"/>
          <w:sz w:val="18"/>
          <w:szCs w:val="18"/>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8"/>
          <w:szCs w:val="18"/>
          <w:color w:val="1E1E1E"/>
        </w:rPr>
        <w:t>☐</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8"/>
          <w:szCs w:val="18"/>
          <w:color w:val="1E1E1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8"/>
          <w:szCs w:val="18"/>
          <w:color w:val="1E1E1E"/>
        </w:rPr>
        <w:t>☒</w:t>
      </w:r>
    </w:p>
    <w:p>
      <w:pPr>
        <w:spacing w:after="0" w:line="1"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18"/>
          <w:szCs w:val="18"/>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8"/>
          <w:szCs w:val="18"/>
          <w:color w:val="1E1E1E"/>
        </w:rPr>
        <w:t>☐</w:t>
      </w:r>
    </w:p>
    <w:p>
      <w:pPr>
        <w:spacing w:after="0" w:line="2" w:lineRule="exact"/>
        <w:rPr>
          <w:sz w:val="20"/>
          <w:szCs w:val="20"/>
          <w:color w:val="auto"/>
        </w:rPr>
      </w:pPr>
    </w:p>
    <w:p>
      <w:pPr>
        <w:ind w:right="320"/>
        <w:spacing w:after="0" w:line="210" w:lineRule="auto"/>
        <w:rPr>
          <w:sz w:val="20"/>
          <w:szCs w:val="20"/>
          <w:color w:val="auto"/>
        </w:rPr>
      </w:pPr>
      <w:r>
        <w:rPr>
          <w:rFonts w:ascii="Times New Roman" w:cs="Times New Roman" w:eastAsia="Times New Roman" w:hAnsi="Times New Roman"/>
          <w:sz w:val="18"/>
          <w:szCs w:val="18"/>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8"/>
          <w:szCs w:val="18"/>
          <w:color w:val="1E1E1E"/>
        </w:rPr>
        <w:t>☐</w:t>
      </w:r>
    </w:p>
    <w:p>
      <w:pPr>
        <w:spacing w:after="0" w:line="2"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18"/>
          <w:szCs w:val="18"/>
          <w:color w:val="1E1E1E"/>
        </w:rPr>
        <w:t xml:space="preserve">Indicate by check mark whether the registrant is a shell company (as defined in Rule 12b-2 of the Act). Yes </w:t>
      </w:r>
      <w:r>
        <w:rPr>
          <w:rFonts w:ascii="Segoe UI Symbol" w:cs="Segoe UI Symbol" w:eastAsia="Segoe UI Symbol" w:hAnsi="Segoe UI Symbol"/>
          <w:sz w:val="18"/>
          <w:szCs w:val="18"/>
          <w:color w:val="1E1E1E"/>
        </w:rPr>
        <w:t>☐</w:t>
      </w:r>
      <w:r>
        <w:rPr>
          <w:rFonts w:ascii="Times New Roman" w:cs="Times New Roman" w:eastAsia="Times New Roman" w:hAnsi="Times New Roman"/>
          <w:sz w:val="18"/>
          <w:szCs w:val="18"/>
          <w:color w:val="1E1E1E"/>
        </w:rPr>
        <w:tab/>
        <w:t xml:space="preserve">No </w:t>
      </w:r>
      <w:r>
        <w:rPr>
          <w:rFonts w:ascii="Segoe UI Symbol" w:cs="Segoe UI Symbol" w:eastAsia="Segoe UI Symbol" w:hAnsi="Segoe UI Symbol"/>
          <w:sz w:val="18"/>
          <w:szCs w:val="18"/>
          <w:color w:val="1E1E1E"/>
        </w:rPr>
        <w:t>☒</w:t>
      </w:r>
    </w:p>
    <w:p>
      <w:pPr>
        <w:spacing w:after="0" w:line="28"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8"/>
          <w:szCs w:val="18"/>
          <w:color w:val="1E1E1E"/>
        </w:rPr>
        <w:t>The aggregate market value of shares of Common Stock held by non-affiliates of the registrant was approximately $1,781.6 million as of June 30, 2025. For purposes of this computation, shares held by affiliates and by directors and officers of the registrant have been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E1E1E"/>
        </w:rPr>
        <w:t>As of February 12, 2026 there were 225,462,013 shares of the registrant’s Common Stock outstanding.</w:t>
      </w:r>
    </w:p>
    <w:p>
      <w:pPr>
        <w:spacing w:after="0" w:line="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1E1E1E"/>
        </w:rPr>
        <w:t>Documents Incorporated by Reference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E1E1E"/>
        </w:rPr>
        <w:t>Portions of the registrant’s Proxy Statement for the 2026 Annual Meeting of Stockholders are incorporated by reference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8580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68580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68580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6858000" cy="6350"/>
                    </a:xfrm>
                    <a:prstGeom prst="rect">
                      <a:avLst/>
                    </a:prstGeom>
                    <a:noFill/>
                  </pic:spPr>
                </pic:pic>
              </a:graphicData>
            </a:graphic>
          </wp:anchor>
        </w:drawing>
      </w:r>
    </w:p>
    <w:p>
      <w:pPr>
        <w:sectPr>
          <w:pgSz w:w="11880" w:h="15480" w:orient="portrait"/>
          <w:cols w:equalWidth="0" w:num="1">
            <w:col w:w="10800"/>
          </w:cols>
          <w:pgMar w:left="540" w:top="767" w:right="540" w:bottom="449"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9380" w:type="dxa"/>
            <w:vAlign w:val="bottom"/>
          </w:tcPr>
          <w:p>
            <w:pPr>
              <w:jc w:val="center"/>
              <w:ind w:right="360"/>
              <w:spacing w:after="0"/>
              <w:rPr>
                <w:sz w:val="20"/>
                <w:szCs w:val="20"/>
                <w:color w:val="auto"/>
              </w:rPr>
            </w:pPr>
            <w:r>
              <w:rPr>
                <w:rFonts w:ascii="Times New Roman" w:cs="Times New Roman" w:eastAsia="Times New Roman" w:hAnsi="Times New Roman"/>
                <w:sz w:val="20"/>
                <w:szCs w:val="20"/>
                <w:b w:val="1"/>
                <w:bCs w:val="1"/>
                <w:color w:val="1E1E1E"/>
              </w:rPr>
              <w:t>Vistance Networks, Inc.</w:t>
            </w:r>
          </w:p>
        </w:tc>
        <w:tc>
          <w:tcPr>
            <w:tcW w:w="480" w:type="dxa"/>
            <w:vAlign w:val="bottom"/>
          </w:tcPr>
          <w:p>
            <w:pPr>
              <w:spacing w:after="0"/>
              <w:rPr>
                <w:sz w:val="20"/>
                <w:szCs w:val="20"/>
                <w:color w:val="auto"/>
              </w:rPr>
            </w:pPr>
          </w:p>
        </w:tc>
      </w:tr>
      <w:tr>
        <w:trPr>
          <w:trHeight w:val="230"/>
        </w:trPr>
        <w:tc>
          <w:tcPr>
            <w:tcW w:w="940" w:type="dxa"/>
            <w:vAlign w:val="bottom"/>
          </w:tcPr>
          <w:p>
            <w:pPr>
              <w:spacing w:after="0"/>
              <w:rPr>
                <w:sz w:val="20"/>
                <w:szCs w:val="20"/>
                <w:color w:val="auto"/>
              </w:rPr>
            </w:pPr>
          </w:p>
        </w:tc>
        <w:tc>
          <w:tcPr>
            <w:tcW w:w="9380" w:type="dxa"/>
            <w:vAlign w:val="bottom"/>
          </w:tcPr>
          <w:p>
            <w:pPr>
              <w:jc w:val="center"/>
              <w:ind w:right="360"/>
              <w:spacing w:after="0"/>
              <w:rPr>
                <w:sz w:val="20"/>
                <w:szCs w:val="20"/>
                <w:color w:val="auto"/>
              </w:rPr>
            </w:pPr>
            <w:r>
              <w:rPr>
                <w:rFonts w:ascii="Times New Roman" w:cs="Times New Roman" w:eastAsia="Times New Roman" w:hAnsi="Times New Roman"/>
                <w:sz w:val="20"/>
                <w:szCs w:val="20"/>
                <w:b w:val="1"/>
                <w:bCs w:val="1"/>
                <w:color w:val="1E1E1E"/>
              </w:rPr>
              <w:t>Form 10-K</w:t>
            </w:r>
          </w:p>
        </w:tc>
        <w:tc>
          <w:tcPr>
            <w:tcW w:w="480" w:type="dxa"/>
            <w:vAlign w:val="bottom"/>
          </w:tcPr>
          <w:p>
            <w:pPr>
              <w:spacing w:after="0"/>
              <w:rPr>
                <w:sz w:val="20"/>
                <w:szCs w:val="20"/>
                <w:color w:val="auto"/>
              </w:rPr>
            </w:pPr>
          </w:p>
        </w:tc>
      </w:tr>
      <w:tr>
        <w:trPr>
          <w:trHeight w:val="230"/>
        </w:trPr>
        <w:tc>
          <w:tcPr>
            <w:tcW w:w="940" w:type="dxa"/>
            <w:vAlign w:val="bottom"/>
          </w:tcPr>
          <w:p>
            <w:pPr>
              <w:spacing w:after="0"/>
              <w:rPr>
                <w:sz w:val="20"/>
                <w:szCs w:val="20"/>
                <w:color w:val="auto"/>
              </w:rPr>
            </w:pPr>
          </w:p>
        </w:tc>
        <w:tc>
          <w:tcPr>
            <w:tcW w:w="9380" w:type="dxa"/>
            <w:vAlign w:val="bottom"/>
          </w:tcPr>
          <w:p>
            <w:pPr>
              <w:jc w:val="center"/>
              <w:ind w:right="360"/>
              <w:spacing w:after="0"/>
              <w:rPr>
                <w:sz w:val="20"/>
                <w:szCs w:val="20"/>
                <w:color w:val="auto"/>
              </w:rPr>
            </w:pPr>
            <w:r>
              <w:rPr>
                <w:rFonts w:ascii="Times New Roman" w:cs="Times New Roman" w:eastAsia="Times New Roman" w:hAnsi="Times New Roman"/>
                <w:sz w:val="20"/>
                <w:szCs w:val="20"/>
                <w:b w:val="1"/>
                <w:bCs w:val="1"/>
                <w:color w:val="1E1E1E"/>
                <w:w w:val="98"/>
              </w:rPr>
              <w:t>December 31, 2025</w:t>
            </w:r>
          </w:p>
        </w:tc>
        <w:tc>
          <w:tcPr>
            <w:tcW w:w="480" w:type="dxa"/>
            <w:vAlign w:val="bottom"/>
          </w:tcPr>
          <w:p>
            <w:pPr>
              <w:spacing w:after="0"/>
              <w:rPr>
                <w:sz w:val="20"/>
                <w:szCs w:val="20"/>
                <w:color w:val="auto"/>
              </w:rPr>
            </w:pPr>
          </w:p>
        </w:tc>
      </w:tr>
      <w:tr>
        <w:trPr>
          <w:trHeight w:val="275"/>
        </w:trPr>
        <w:tc>
          <w:tcPr>
            <w:tcW w:w="940" w:type="dxa"/>
            <w:vAlign w:val="bottom"/>
          </w:tcPr>
          <w:p>
            <w:pPr>
              <w:spacing w:after="0"/>
              <w:rPr>
                <w:sz w:val="23"/>
                <w:szCs w:val="23"/>
                <w:color w:val="auto"/>
              </w:rPr>
            </w:pPr>
          </w:p>
        </w:tc>
        <w:tc>
          <w:tcPr>
            <w:tcW w:w="9380" w:type="dxa"/>
            <w:vAlign w:val="bottom"/>
          </w:tcPr>
          <w:p>
            <w:pPr>
              <w:jc w:val="center"/>
              <w:ind w:right="360"/>
              <w:spacing w:after="0"/>
              <w:rPr>
                <w:sz w:val="20"/>
                <w:szCs w:val="20"/>
                <w:color w:val="auto"/>
              </w:rPr>
            </w:pPr>
            <w:r>
              <w:rPr>
                <w:rFonts w:ascii="Times New Roman" w:cs="Times New Roman" w:eastAsia="Times New Roman" w:hAnsi="Times New Roman"/>
                <w:sz w:val="20"/>
                <w:szCs w:val="20"/>
                <w:b w:val="1"/>
                <w:bCs w:val="1"/>
                <w:color w:val="1E1E1E"/>
                <w:w w:val="99"/>
              </w:rPr>
              <w:t>Table of Contents</w:t>
            </w:r>
          </w:p>
        </w:tc>
        <w:tc>
          <w:tcPr>
            <w:tcW w:w="480" w:type="dxa"/>
            <w:vAlign w:val="bottom"/>
          </w:tcPr>
          <w:p>
            <w:pPr>
              <w:spacing w:after="0"/>
              <w:rPr>
                <w:sz w:val="23"/>
                <w:szCs w:val="23"/>
                <w:color w:val="auto"/>
              </w:rPr>
            </w:pPr>
          </w:p>
        </w:tc>
      </w:tr>
      <w:tr>
        <w:trPr>
          <w:trHeight w:val="580"/>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w:t>
            </w:r>
          </w:p>
        </w:tc>
        <w:tc>
          <w:tcPr>
            <w:tcW w:w="9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6"/>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1. Business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1A. 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1B. Unresolved Staff Comments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1C. Cybersecurity</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2. Properties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3. 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4. 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w:t>
            </w:r>
          </w:p>
        </w:tc>
      </w:tr>
      <w:tr>
        <w:trPr>
          <w:trHeight w:val="354"/>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II</w:t>
            </w:r>
          </w:p>
        </w:tc>
        <w:tc>
          <w:tcPr>
            <w:tcW w:w="9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6"/>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5. Market for the Registrant’s Common Equity, Related Stockholder Matters and Issuer Purchases of Equity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6. Reserved</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7. 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7A. 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8. Financial Statements and Supplementary Data</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9. Changes in and Disagreements with Accountants on Accounting and Financial Disclosure</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9A. 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9B. 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w:t>
            </w:r>
          </w:p>
        </w:tc>
      </w:tr>
      <w:tr>
        <w:trPr>
          <w:trHeight w:val="350"/>
        </w:trPr>
        <w:tc>
          <w:tcPr>
            <w:tcW w:w="10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1E1E1E"/>
              </w:rPr>
              <w:t>Item 9C. Disclosure Regarding Foreign Jurisdictions that Prevent Inspections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w:t>
            </w:r>
          </w:p>
        </w:tc>
      </w:tr>
      <w:tr>
        <w:trPr>
          <w:trHeight w:val="354"/>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III</w:t>
            </w:r>
          </w:p>
        </w:tc>
        <w:tc>
          <w:tcPr>
            <w:tcW w:w="9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6"/>
        </w:trPr>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Item 10.</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Directors, Executive Officers and Corporate Governance</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w:t>
            </w:r>
          </w:p>
        </w:tc>
      </w:tr>
      <w:tr>
        <w:trPr>
          <w:trHeight w:val="350"/>
        </w:trPr>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Item 11.</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Executive Compensation</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w:t>
            </w:r>
          </w:p>
        </w:tc>
      </w:tr>
      <w:tr>
        <w:trPr>
          <w:trHeight w:val="350"/>
        </w:trPr>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Item 12.</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Security Ownership of Certain Beneficial Owners and Management and Related Stockholder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w:t>
            </w:r>
          </w:p>
        </w:tc>
      </w:tr>
      <w:tr>
        <w:trPr>
          <w:trHeight w:val="350"/>
        </w:trPr>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Item 13.</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Certain Relationships and Related Transactions, and Director Independence</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w:t>
            </w:r>
          </w:p>
        </w:tc>
      </w:tr>
      <w:tr>
        <w:trPr>
          <w:trHeight w:val="350"/>
        </w:trPr>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Item 14.</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Principal Accountant Fees and Services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w:t>
            </w:r>
          </w:p>
        </w:tc>
      </w:tr>
      <w:tr>
        <w:trPr>
          <w:trHeight w:val="354"/>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IV</w:t>
            </w:r>
          </w:p>
        </w:tc>
        <w:tc>
          <w:tcPr>
            <w:tcW w:w="9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6"/>
        </w:trPr>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Item 15.</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Exhibits and Financial Statement Schedules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w:t>
            </w:r>
          </w:p>
        </w:tc>
      </w:tr>
      <w:tr>
        <w:trPr>
          <w:trHeight w:val="354"/>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Signatures</w:t>
            </w:r>
          </w:p>
        </w:tc>
        <w:tc>
          <w:tcPr>
            <w:tcW w:w="9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w:t>
            </w:r>
          </w:p>
        </w:tc>
      </w:tr>
    </w:tbl>
    <w:p>
      <w:pPr>
        <w:spacing w:after="0" w:line="200" w:lineRule="exact"/>
        <w:rPr>
          <w:sz w:val="20"/>
          <w:szCs w:val="20"/>
          <w:color w:val="auto"/>
        </w:rPr>
      </w:pP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w:t>
      </w:r>
    </w:p>
    <w:p>
      <w:pPr>
        <w:sectPr>
          <w:pgSz w:w="11880" w:h="15480" w:orient="portrait"/>
          <w:cols w:equalWidth="0" w:num="1">
            <w:col w:w="10800"/>
          </w:cols>
          <w:pgMar w:left="540" w:top="1235" w:right="540" w:bottom="0" w:gutter="0" w:footer="0" w:header="0"/>
          <w:type w:val="continuous"/>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12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1E1E1E"/>
        </w:rPr>
        <w:t>Unless the context otherwise requires, references to “Vistance Networks, Inc.,” “the Company,” “Registrant,” “we,” “us,” or “our” are to Vistance Networks, Inc. and its direct and indirect subsidiaries on a consolidated basis.</w:t>
      </w:r>
    </w:p>
    <w:p>
      <w:pPr>
        <w:spacing w:after="0" w:line="16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1E1E1E"/>
        </w:rPr>
        <w:t>This Annual Report on Form 10-K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20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1E1E1E"/>
        </w:rPr>
        <w:t>These statements are subject to various risks and uncertainties, many of which are outside of our control. Item 1A, “Risk Factors,” of this Annual Report on Form 10-K sets forth more detailed information about the factors that may cause our actual results to differ, perhaps materially, from the views stated in such forward-looking statements. Although the information contained in this Annual Report on Form 10-K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any forward-looking statements to reflect developments or information obtained after the date of this Annual Report on Form 10-K, except to the extent required by law.</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Company Overview</w:t>
      </w:r>
    </w:p>
    <w:p>
      <w:pPr>
        <w:spacing w:after="0" w:line="1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Vistance Networks, Inc. was incorporated in Delaware on October 22, 2010 as CommScope Holding Company, Inc., and our initial public offering for our common stock was on October 25, 2013. Effective January 14, 2026, we changed our legal name from CommScope Holding Company, Inc. to Vistance Networks, Inc. Since our founding as an independent company in 1976, we have played a significant role in many of the world’s leading communication networks. Our evolution has been driven by technological innovation and strategies that expanded our product offerings and complemented our existing solutions. We are a global provider of infrastructure solutions that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(IPTV)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20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As of December 31, 2025, excluding our discontinued operations, we have a team of over 4,500 people who serve our customers in over 70 countries. Our customers include substantially all the leading global telecommunications operators, data center managers, cable television providers or multi-system operators (MSOs) and thousands of enterprise customers, including many Fortune 500 companies. We have long-standing, direct relationships with our customers and serve them through a direct sales force, supplemented by a global network of channel partners.</w:t>
      </w:r>
    </w:p>
    <w:p>
      <w:pPr>
        <w:spacing w:after="0" w:line="19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1E1E1E"/>
        </w:rPr>
        <w:t>Since 2021, we have been engaged in a transformation initiative designed to drive shareholder value through three pillars: profitable growth, operational efficiency and portfolio optimization. We continue to focus on driving operational efficiencies and other cost savings initiatives, as well as portfolio optimization, all of which enabled us to take advantage of the recovery in demand that we started to see beginning in late 2024 and continuing through 2025. We continue to analyze the impacts of the recently announced tariffs under the current U.S. administration; however, we believe we have a manageable plan in place to mitigate any potential impacts. Our approach of focusing on matters in our control has driven improved results in 2025 and will remain our focus into 2026. As a result, we incurred $19.7 million, $36.7 million and $29.4 million of net restructuring costs and $29.9 million, $63.4 million and $27.1 million of transaction, transformation and integration costs during the years ended December 31, 2025, 2024 and 2023, respectively, primarily related to our transformation initiative. We expect to continue to incur such costs during 2026 as we continue executing on our transformation initiative, and the resulting charges and cash requirements could be material.</w:t>
      </w:r>
    </w:p>
    <w:p>
      <w:pPr>
        <w:sectPr>
          <w:pgSz w:w="11880" w:h="15480" w:orient="portrait"/>
          <w:cols w:equalWidth="0" w:num="1">
            <w:col w:w="10760"/>
          </w:cols>
          <w:pgMar w:left="540" w:top="1235"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3</w:t>
      </w:r>
    </w:p>
    <w:p>
      <w:pPr>
        <w:sectPr>
          <w:pgSz w:w="11880" w:h="15480" w:orient="portrait"/>
          <w:cols w:equalWidth="0" w:num="1">
            <w:col w:w="10760"/>
          </w:cols>
          <w:pgMar w:left="540" w:top="1235" w:right="580" w:bottom="0" w:gutter="0" w:footer="0" w:header="0"/>
          <w:type w:val="continuous"/>
        </w:sectPr>
      </w:pPr>
    </w:p>
    <w:bookmarkStart w:id="13" w:name="page14"/>
    <w:bookmarkEnd w:id="13"/>
    <w:p>
      <w:pPr>
        <w:ind w:right="100"/>
        <w:spacing w:after="0" w:line="255" w:lineRule="auto"/>
        <w:rPr>
          <w:sz w:val="20"/>
          <w:szCs w:val="20"/>
          <w:color w:val="auto"/>
        </w:rPr>
      </w:pPr>
      <w:r>
        <w:rPr>
          <w:rFonts w:ascii="Times New Roman" w:cs="Times New Roman" w:eastAsia="Times New Roman" w:hAnsi="Times New Roman"/>
          <w:sz w:val="19"/>
          <w:szCs w:val="19"/>
          <w:color w:val="1E1E1E"/>
        </w:rPr>
        <w:t>During the years ended December 31, 2023, 2024 and 2025, we executed several strategic transactions that are further described in Note 3 and Note 4 in the Notes to Consolidated Financial Statements included elsewhere in this Annual Report on Form 10-K. These transactions included the acquisition of certain assets of Casa Systems, Inc. (Casa), as well as multiple divestitures, including the Home business, the Outdoor Wireless Networks (OWN) segment, the Distributed Antenna Systems (DAS) business unit, the OneCell business, and the Connectivity and Cable Solutions (CCS) segment. Several of these divestitures met the criteria for discontinued</w:t>
      </w:r>
    </w:p>
    <w:p>
      <w:pPr>
        <w:spacing w:after="0" w:line="5"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1E1E1E"/>
        </w:rPr>
        <w:t>operations under Accounting Standard Codification (ASC) 205</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 xml:space="preserve">20, </w:t>
      </w:r>
      <w:r>
        <w:rPr>
          <w:rFonts w:ascii="Times New Roman" w:cs="Times New Roman" w:eastAsia="Times New Roman" w:hAnsi="Times New Roman"/>
          <w:sz w:val="20"/>
          <w:szCs w:val="20"/>
          <w:i w:val="1"/>
          <w:iCs w:val="1"/>
          <w:color w:val="1E1E1E"/>
        </w:rPr>
        <w:t>Presentation of Financial Statements—Discontinued Operations</w:t>
      </w:r>
    </w:p>
    <w:p>
      <w:pPr>
        <w:spacing w:after="0" w:line="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1E1E1E"/>
        </w:rPr>
        <w:t xml:space="preserve">and "held for sale" classification under ASC 360-10, </w:t>
      </w:r>
      <w:r>
        <w:rPr>
          <w:rFonts w:ascii="Times New Roman" w:cs="Times New Roman" w:eastAsia="Times New Roman" w:hAnsi="Times New Roman"/>
          <w:sz w:val="20"/>
          <w:szCs w:val="20"/>
          <w:i w:val="1"/>
          <w:iCs w:val="1"/>
          <w:color w:val="1E1E1E"/>
        </w:rPr>
        <w:t>Impairment and Disposal of Long Lived Assets.</w:t>
      </w:r>
      <w:r>
        <w:rPr>
          <w:rFonts w:ascii="Times New Roman" w:cs="Times New Roman" w:eastAsia="Times New Roman" w:hAnsi="Times New Roman"/>
          <w:sz w:val="20"/>
          <w:szCs w:val="20"/>
          <w:color w:val="1E1E1E"/>
        </w:rPr>
        <w:t xml:space="preserve"> Detailed financial information, gain or loss recognition, held for sale measurements, and the related balance sheet, statement of operations, and statement of cash flow impacts are included within those notes.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Segment Renaming</w:t>
      </w:r>
    </w:p>
    <w:p>
      <w:pPr>
        <w:spacing w:after="0" w:line="1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Effective April 1, 2025, following the divestiture of the DAS business unit, we renamed our Networking, Intelligent Cellular &amp; Security Solutions (NICS) segment to RUCKUS. The name change did not impact our operating or reportable segment structure, chief operating decision maker (CODM) reporting or historical segment results. Historical activities occurring prior to the effective date are referenced under the former NICS name.</w:t>
      </w:r>
    </w:p>
    <w:p>
      <w:pPr>
        <w:spacing w:after="0" w:line="19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In connection with the divestiture of the CCS segment, and effective upon the closing of that transaction on January 9, 2026, we renamed our Access Network Solutions (ANS) segment to Aurora Networks (Aurora). The name change did not impact our operating or reportable segment structure, CODM reporting or historical segment results. Historical activities occurring prior to the effective date are referenced under the former ANS name.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Operating Segment Realignments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better align product oversight with how the business is managed:</w:t>
      </w:r>
    </w:p>
    <w:p>
      <w:pPr>
        <w:spacing w:after="0" w:line="134" w:lineRule="exact"/>
        <w:rPr>
          <w:sz w:val="20"/>
          <w:szCs w:val="20"/>
          <w:color w:val="auto"/>
        </w:rPr>
      </w:pPr>
    </w:p>
    <w:p>
      <w:pPr>
        <w:ind w:left="980" w:hanging="490"/>
        <w:spacing w:after="0" w:line="278" w:lineRule="auto"/>
        <w:tabs>
          <w:tab w:leader="none" w:pos="98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Effective January 1, 2025, a product line was transferred from the RUCKUS (formerly NICS) segment to the Aurora (formerly ANS) segment.</w:t>
      </w:r>
    </w:p>
    <w:p>
      <w:pPr>
        <w:spacing w:after="0" w:line="60" w:lineRule="exact"/>
        <w:rPr>
          <w:rFonts w:ascii="Arial" w:cs="Arial" w:eastAsia="Arial" w:hAnsi="Arial"/>
          <w:sz w:val="20"/>
          <w:szCs w:val="20"/>
          <w:color w:val="1E1E1E"/>
        </w:rPr>
      </w:pPr>
    </w:p>
    <w:p>
      <w:pPr>
        <w:ind w:left="980" w:hanging="490"/>
        <w:spacing w:after="0" w:line="278" w:lineRule="auto"/>
        <w:tabs>
          <w:tab w:leader="none" w:pos="98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Effective January 1, 2024, certain product lines were transferred from the CCS segment (which became a discontinued operation in the fourth quarter of 2025) to the Aurora (formerly ANS) segment.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All prior periods presented have been recast to reflect these organizational changes.</w:t>
      </w:r>
    </w:p>
    <w:p>
      <w:pPr>
        <w:spacing w:after="0" w:line="2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1E1E1E"/>
        </w:rPr>
        <w:t>The discussions in these consolidated financial statements relate solely to our continuing operations, unless otherwise noted. As a result, we are reporting financial performance based on the following remaining reportable segments: RUCKUS and Aurora. For further discussion of the discontinued operations related to the CCS segment, OWN segment, DAS business unit and Home business, see Note 4 in the Notes to Consolidated Financial Statements included elsewhere in this Annual Report on Form 10-K.</w:t>
      </w:r>
    </w:p>
    <w:p>
      <w:pPr>
        <w:spacing w:after="0" w:line="190"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1E1E1E"/>
        </w:rPr>
        <w:t>For the year ended December 31, 2025, our revenues were $1.93 billion and our income from continuing operations was $324.3 million. For further discussion of our current and prior year financial results, see Part II, Item 7, “Management’s Discussion and Analysis of Financial Condition and Results of Operations” and the Consolidated Financial Statements included in Part II, Item 8 of this Annual Report on Form 10-K.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Reportable Segments</w:t>
      </w:r>
    </w:p>
    <w:p>
      <w:pPr>
        <w:spacing w:after="0" w:line="123" w:lineRule="exact"/>
        <w:rPr>
          <w:sz w:val="20"/>
          <w:szCs w:val="20"/>
          <w:color w:val="auto"/>
        </w:rPr>
      </w:pPr>
    </w:p>
    <w:p>
      <w:pPr>
        <w:jc w:val="both"/>
        <w:ind w:right="760"/>
        <w:spacing w:after="0" w:line="279" w:lineRule="auto"/>
        <w:rPr>
          <w:sz w:val="20"/>
          <w:szCs w:val="20"/>
          <w:color w:val="auto"/>
        </w:rPr>
      </w:pPr>
      <w:r>
        <w:rPr>
          <w:rFonts w:ascii="Times New Roman" w:cs="Times New Roman" w:eastAsia="Times New Roman" w:hAnsi="Times New Roman"/>
          <w:sz w:val="20"/>
          <w:szCs w:val="20"/>
          <w:color w:val="1E1E1E"/>
        </w:rPr>
        <w:t>As a result of the divestitures described above, we are now reporting financial performance based on the following remaining reportable segments: RUCKUS and Aurora. The distribution of net revenues among our reportable segments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1020" w:type="dxa"/>
            <w:vAlign w:val="bottom"/>
            <w:tcBorders>
              <w:bottom w:val="single" w:sz="8" w:color="1E1E1E"/>
            </w:tcBorders>
          </w:tcPr>
          <w:p>
            <w:pPr>
              <w:spacing w:after="0"/>
              <w:rPr>
                <w:sz w:val="17"/>
                <w:szCs w:val="17"/>
                <w:color w:val="auto"/>
              </w:rPr>
            </w:pPr>
          </w:p>
        </w:tc>
        <w:tc>
          <w:tcPr>
            <w:tcW w:w="560" w:type="dxa"/>
            <w:vAlign w:val="bottom"/>
            <w:tcBorders>
              <w:bottom w:val="single" w:sz="8" w:color="1E1E1E"/>
            </w:tcBorders>
          </w:tcPr>
          <w:p>
            <w:pPr>
              <w:spacing w:after="0"/>
              <w:rPr>
                <w:sz w:val="17"/>
                <w:szCs w:val="17"/>
                <w:color w:val="auto"/>
              </w:rPr>
            </w:pPr>
          </w:p>
        </w:tc>
        <w:tc>
          <w:tcPr>
            <w:tcW w:w="540" w:type="dxa"/>
            <w:vAlign w:val="bottom"/>
            <w:tcBorders>
              <w:bottom w:val="single" w:sz="8" w:color="1E1E1E"/>
            </w:tcBorders>
          </w:tcPr>
          <w:p>
            <w:pPr>
              <w:spacing w:after="0"/>
              <w:rPr>
                <w:sz w:val="17"/>
                <w:szCs w:val="17"/>
                <w:color w:val="auto"/>
              </w:rPr>
            </w:pPr>
          </w:p>
        </w:tc>
        <w:tc>
          <w:tcPr>
            <w:tcW w:w="2120" w:type="dxa"/>
            <w:vAlign w:val="bottom"/>
            <w:tcBorders>
              <w:bottom w:val="single" w:sz="8" w:color="1E1E1E"/>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900" w:type="dxa"/>
            <w:vAlign w:val="bottom"/>
            <w:tcBorders>
              <w:bottom w:val="single" w:sz="8" w:color="1E1E1E"/>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40" w:type="dxa"/>
            <w:vAlign w:val="bottom"/>
            <w:tcBorders>
              <w:bottom w:val="single" w:sz="8" w:color="E1E1E1"/>
            </w:tcBorders>
          </w:tcPr>
          <w:p>
            <w:pPr>
              <w:spacing w:after="0"/>
              <w:rPr>
                <w:sz w:val="16"/>
                <w:szCs w:val="16"/>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560" w:type="dxa"/>
            <w:vAlign w:val="bottom"/>
            <w:tcBorders>
              <w:bottom w:val="single" w:sz="8" w:color="1E1E1E"/>
            </w:tcBorders>
          </w:tcPr>
          <w:p>
            <w:pPr>
              <w:spacing w:after="0"/>
              <w:rPr>
                <w:sz w:val="16"/>
                <w:szCs w:val="16"/>
                <w:color w:val="auto"/>
              </w:rPr>
            </w:pPr>
          </w:p>
        </w:tc>
        <w:tc>
          <w:tcPr>
            <w:tcW w:w="540" w:type="dxa"/>
            <w:vAlign w:val="bottom"/>
            <w:tcBorders>
              <w:bottom w:val="single" w:sz="8" w:color="E1E1E1"/>
            </w:tcBorders>
          </w:tcPr>
          <w:p>
            <w:pPr>
              <w:spacing w:after="0"/>
              <w:rPr>
                <w:sz w:val="16"/>
                <w:szCs w:val="16"/>
                <w:color w:val="auto"/>
              </w:rPr>
            </w:pPr>
          </w:p>
        </w:tc>
        <w:tc>
          <w:tcPr>
            <w:tcW w:w="1580" w:type="dxa"/>
            <w:vAlign w:val="bottom"/>
            <w:tcBorders>
              <w:bottom w:val="single" w:sz="8" w:color="1E1E1E"/>
            </w:tcBorders>
          </w:tcPr>
          <w:p>
            <w:pPr>
              <w:jc w:val="right"/>
              <w:ind w:right="54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40" w:type="dxa"/>
            <w:vAlign w:val="bottom"/>
            <w:tcBorders>
              <w:bottom w:val="single" w:sz="8" w:color="E1E1E1"/>
            </w:tcBorders>
          </w:tcPr>
          <w:p>
            <w:pPr>
              <w:spacing w:after="0"/>
              <w:rPr>
                <w:sz w:val="16"/>
                <w:szCs w:val="16"/>
                <w:color w:val="auto"/>
              </w:rPr>
            </w:pPr>
          </w:p>
        </w:tc>
        <w:tc>
          <w:tcPr>
            <w:tcW w:w="1900" w:type="dxa"/>
            <w:vAlign w:val="bottom"/>
            <w:tcBorders>
              <w:bottom w:val="single" w:sz="8" w:color="1E1E1E"/>
            </w:tcBorders>
          </w:tcPr>
          <w:p>
            <w:pPr>
              <w:jc w:val="right"/>
              <w:ind w:right="70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2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RUCKUS</w:t>
            </w:r>
          </w:p>
        </w:tc>
        <w:tc>
          <w:tcPr>
            <w:tcW w:w="1020" w:type="dxa"/>
            <w:vAlign w:val="bottom"/>
            <w:shd w:val="clear" w:color="auto" w:fill="E1E1E1"/>
          </w:tcPr>
          <w:p>
            <w:pPr>
              <w:spacing w:after="0"/>
              <w:rPr>
                <w:sz w:val="20"/>
                <w:szCs w:val="20"/>
                <w:color w:val="auto"/>
              </w:rPr>
            </w:pPr>
          </w:p>
        </w:tc>
        <w:tc>
          <w:tcPr>
            <w:tcW w:w="1100" w:type="dxa"/>
            <w:vAlign w:val="bottom"/>
            <w:gridSpan w:val="2"/>
            <w:shd w:val="clear" w:color="auto" w:fill="E1E1E1"/>
          </w:tcPr>
          <w:p>
            <w:pPr>
              <w:jc w:val="right"/>
              <w:ind w:right="380"/>
              <w:spacing w:after="0"/>
              <w:rPr>
                <w:sz w:val="20"/>
                <w:szCs w:val="20"/>
                <w:color w:val="auto"/>
              </w:rPr>
            </w:pPr>
            <w:r>
              <w:rPr>
                <w:rFonts w:ascii="Times New Roman" w:cs="Times New Roman" w:eastAsia="Times New Roman" w:hAnsi="Times New Roman"/>
                <w:sz w:val="20"/>
                <w:szCs w:val="20"/>
                <w:color w:val="1E1E1E"/>
              </w:rPr>
              <w:t>36.2%</w:t>
            </w:r>
          </w:p>
        </w:tc>
        <w:tc>
          <w:tcPr>
            <w:tcW w:w="2120" w:type="dxa"/>
            <w:vAlign w:val="bottom"/>
            <w:gridSpan w:val="2"/>
            <w:shd w:val="clear" w:color="auto" w:fill="E1E1E1"/>
          </w:tcPr>
          <w:p>
            <w:pPr>
              <w:jc w:val="right"/>
              <w:ind w:right="380"/>
              <w:spacing w:after="0"/>
              <w:rPr>
                <w:sz w:val="20"/>
                <w:szCs w:val="20"/>
                <w:color w:val="auto"/>
              </w:rPr>
            </w:pPr>
            <w:r>
              <w:rPr>
                <w:rFonts w:ascii="Times New Roman" w:cs="Times New Roman" w:eastAsia="Times New Roman" w:hAnsi="Times New Roman"/>
                <w:sz w:val="20"/>
                <w:szCs w:val="20"/>
                <w:color w:val="1E1E1E"/>
              </w:rPr>
              <w:t>39.5%</w:t>
            </w:r>
          </w:p>
        </w:tc>
        <w:tc>
          <w:tcPr>
            <w:tcW w:w="212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41.2%</w:t>
            </w:r>
          </w:p>
        </w:tc>
        <w:tc>
          <w:tcPr>
            <w:tcW w:w="0" w:type="dxa"/>
            <w:vAlign w:val="bottom"/>
          </w:tcPr>
          <w:p>
            <w:pPr>
              <w:spacing w:after="0"/>
              <w:rPr>
                <w:sz w:val="1"/>
                <w:szCs w:val="1"/>
                <w:color w:val="auto"/>
              </w:rPr>
            </w:pPr>
          </w:p>
        </w:tc>
      </w:tr>
      <w:tr>
        <w:trPr>
          <w:trHeight w:val="244"/>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1E1E1E"/>
              </w:rPr>
              <w:t>Aurora</w:t>
            </w:r>
          </w:p>
        </w:tc>
        <w:tc>
          <w:tcPr>
            <w:tcW w:w="102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1E1E1E"/>
              </w:rPr>
              <w:t>63.8%</w:t>
            </w:r>
          </w:p>
        </w:tc>
        <w:tc>
          <w:tcPr>
            <w:tcW w:w="21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1E1E1E"/>
              </w:rPr>
              <w:t>60.5%</w:t>
            </w: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58.8%</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Total</w:t>
            </w:r>
          </w:p>
        </w:tc>
        <w:tc>
          <w:tcPr>
            <w:tcW w:w="1020" w:type="dxa"/>
            <w:vAlign w:val="bottom"/>
            <w:shd w:val="clear" w:color="auto" w:fill="1E1E1E"/>
          </w:tcPr>
          <w:p>
            <w:pPr>
              <w:spacing w:after="0" w:line="20" w:lineRule="exact"/>
              <w:rPr>
                <w:sz w:val="1"/>
                <w:szCs w:val="1"/>
                <w:color w:val="auto"/>
              </w:rPr>
            </w:pPr>
          </w:p>
        </w:tc>
        <w:tc>
          <w:tcPr>
            <w:tcW w:w="560" w:type="dxa"/>
            <w:vAlign w:val="bottom"/>
            <w:shd w:val="clear" w:color="auto" w:fill="1E1E1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shd w:val="clear" w:color="auto" w:fill="1E1E1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shd w:val="clear" w:color="auto" w:fill="1E1E1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440" w:type="dxa"/>
            <w:vAlign w:val="bottom"/>
            <w:vMerge w:val="continue"/>
            <w:shd w:val="clear" w:color="auto" w:fill="E1E1E1"/>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1E1E1E"/>
              </w:rPr>
              <w:t>100.0%</w:t>
            </w:r>
          </w:p>
        </w:tc>
        <w:tc>
          <w:tcPr>
            <w:tcW w:w="21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1E1E1E"/>
              </w:rPr>
              <w:t>100.0%</w:t>
            </w: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560" w:type="dxa"/>
            <w:vAlign w:val="bottom"/>
            <w:tcBorders>
              <w:top w:val="single" w:sz="8" w:color="1E1E1E"/>
              <w:bottom w:val="single" w:sz="8" w:color="1E1E1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Borders>
              <w:top w:val="single" w:sz="8" w:color="1E1E1E"/>
              <w:bottom w:val="single" w:sz="8" w:color="1E1E1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tcBorders>
              <w:top w:val="single" w:sz="8" w:color="1E1E1E"/>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-192405</wp:posOffset>
            </wp:positionV>
            <wp:extent cx="3897630" cy="164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3897630" cy="164465"/>
                    </a:xfrm>
                    <a:prstGeom prst="rect">
                      <a:avLst/>
                    </a:prstGeom>
                    <a:noFill/>
                  </pic:spPr>
                </pic:pic>
              </a:graphicData>
            </a:graphic>
          </wp:anchor>
        </w:drawing>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w:t>
      </w:r>
    </w:p>
    <w:p>
      <w:pPr>
        <w:sectPr>
          <w:pgSz w:w="11880" w:h="15480" w:orient="portrait"/>
          <w:cols w:equalWidth="0" w:num="1">
            <w:col w:w="10800"/>
          </w:cols>
          <w:pgMar w:left="540" w:top="1238" w:right="54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1E1E1E"/>
        </w:rPr>
        <w:t>RUCKUS (2025 Net Sales of $0.7 billion)</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Our RUCKUS segment provides wireless networks for enterprises and service providers. Product offerings include indoor cellular solutions such as indoor and outdoor Wi-Fi and long-term evolution (LTE) access points, access and aggregation switches; an Internet of Things (IoT) suite, on-premises and cloud-based control and management systems; and software and software-as-a-service applications addressing security, location, reporting and analytics.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Aurora (2025 Net Sales of $1.2 billion)</w:t>
      </w:r>
    </w:p>
    <w:p>
      <w:pPr>
        <w:spacing w:after="0" w:line="11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20"/>
          <w:szCs w:val="20"/>
          <w:color w:val="1E1E1E"/>
        </w:rPr>
        <w:t>Our Aurora segment’s product solutions include cable modem termination systems (CMTS), video infrastructure, public key infrastructure solutions, distribution and transmission equipment and cloud solutions that enable facility-based service providers to construct a state-of-the-art residential and metro distribution network.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Industry Background</w:t>
      </w:r>
    </w:p>
    <w:p>
      <w:pPr>
        <w:spacing w:after="0" w:line="12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1E1E1E"/>
        </w:rPr>
        <w:t>We participate in the large and growing global market for connectivity and essential communications infrastructure. This market is being driven by the growth in bandwidth demand associated with the continued demand of smartphones, tablets and machine-to-machine (M2M) communication as well as the proliferation of data centers, Big Data, cloud-based services, streaming media content and IoT. In addition, video distribution over the broadband IP network is transforming how content is managed and consumed. IP facilitates new forms of video such as Over-the-Top (OTT) and interactive television. We continue to see a mix of connectivity needs in homes, in offices and while on the move. We also continue to see higher downstream usage than upstream network usage. Additionally, the network has become more interactive, driving higher bandwidth and the need for lower latency.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There are several major trends that we expect to continue to drive network deployments and investment, including the following: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Evolution of Network Architecture and Technology</w:t>
      </w:r>
    </w:p>
    <w:p>
      <w:pPr>
        <w:spacing w:after="0" w:line="11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1E1E1E"/>
        </w:rPr>
        <w:t>The pace of change in networking continues to increase as consumers and data-driven businesses utilize more bandwidth and cloud and mobile applications. Exponential growth in video and mobile data consumption is continuing to revolutionize how we connect to each other and changing the network architecture needed to support consumer demand. This trend requires better network coverage, greater broadband access, and increased capacity and data storage.</w:t>
      </w:r>
    </w:p>
    <w:p>
      <w:pPr>
        <w:spacing w:after="0" w:line="70"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20"/>
          <w:szCs w:val="20"/>
          <w:color w:val="1E1E1E"/>
        </w:rPr>
        <w:t>Our customers are continuing to develop networks that are faster, more responsive, more efficient and more reliable. We believe the following key network trends will continue to impact the Company and the industry during 2026:</w:t>
      </w:r>
    </w:p>
    <w:p>
      <w:pPr>
        <w:spacing w:after="0" w:line="42" w:lineRule="exact"/>
        <w:rPr>
          <w:sz w:val="20"/>
          <w:szCs w:val="20"/>
          <w:color w:val="auto"/>
        </w:rPr>
      </w:pPr>
    </w:p>
    <w:p>
      <w:pPr>
        <w:ind w:left="720" w:right="140" w:hanging="360"/>
        <w:spacing w:after="0" w:line="261" w:lineRule="auto"/>
        <w:tabs>
          <w:tab w:leader="none" w:pos="72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Network Convergence</w:t>
      </w:r>
      <w:r>
        <w:rPr>
          <w:rFonts w:ascii="Times New Roman" w:cs="Times New Roman" w:eastAsia="Times New Roman" w:hAnsi="Times New Roman"/>
          <w:sz w:val="20"/>
          <w:szCs w:val="20"/>
          <w:b w:val="1"/>
          <w:bCs w:val="1"/>
          <w:color w:val="1E1E1E"/>
        </w:rPr>
        <w:t>:</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Operators are continuing to move toward converged or multi-use network architectures. Rather than</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building upon independent wireline and wireless networks, operators are utilizing networks that combine voice, video and data communications into a single converged data network for wired and wireless services.</w:t>
      </w:r>
    </w:p>
    <w:p>
      <w:pPr>
        <w:spacing w:after="0" w:line="62" w:lineRule="exact"/>
        <w:rPr>
          <w:rFonts w:ascii="Times New Roman" w:cs="Times New Roman" w:eastAsia="Times New Roman" w:hAnsi="Times New Roman"/>
          <w:sz w:val="20"/>
          <w:szCs w:val="20"/>
          <w:color w:val="1E1E1E"/>
        </w:rPr>
      </w:pPr>
    </w:p>
    <w:p>
      <w:pPr>
        <w:ind w:left="720" w:right="220" w:hanging="360"/>
        <w:spacing w:after="0" w:line="249" w:lineRule="auto"/>
        <w:tabs>
          <w:tab w:leader="none" w:pos="72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 xml:space="preserve">Continued Disruption by OTT TV: </w:t>
      </w:r>
      <w:r>
        <w:rPr>
          <w:rFonts w:ascii="Times New Roman" w:cs="Times New Roman" w:eastAsia="Times New Roman" w:hAnsi="Times New Roman"/>
          <w:sz w:val="20"/>
          <w:szCs w:val="20"/>
          <w:color w:val="1E1E1E"/>
        </w:rPr>
        <w:t>Although content consumption continues to increase, subscriptions to pay TV continue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declining. As a result, cable operators are continuing to invest in upgrades to their networks for broadband but continue to have mixed feelings about investments in their video and voice services. While past data trends have been defined by rapid growth in the downstream, more interactive experiences and IoT are driving the need for major network change in the upstream.</w:t>
      </w:r>
    </w:p>
    <w:p>
      <w:pPr>
        <w:spacing w:after="0" w:line="76" w:lineRule="exact"/>
        <w:rPr>
          <w:rFonts w:ascii="Times New Roman" w:cs="Times New Roman" w:eastAsia="Times New Roman" w:hAnsi="Times New Roman"/>
          <w:sz w:val="20"/>
          <w:szCs w:val="20"/>
          <w:color w:val="1E1E1E"/>
        </w:rPr>
      </w:pPr>
    </w:p>
    <w:p>
      <w:pPr>
        <w:ind w:left="720" w:hanging="360"/>
        <w:spacing w:after="0" w:line="261" w:lineRule="auto"/>
        <w:tabs>
          <w:tab w:leader="none" w:pos="720" w:val="left"/>
        </w:tabs>
        <w:numPr>
          <w:ilvl w:val="0"/>
          <w:numId w:val="1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b w:val="1"/>
          <w:bCs w:val="1"/>
          <w:i w:val="1"/>
          <w:iCs w:val="1"/>
          <w:color w:val="1E1E1E"/>
        </w:rPr>
        <w:t xml:space="preserve">Virtualization, Centralization and Disaggregation: </w:t>
      </w:r>
      <w:r>
        <w:rPr>
          <w:rFonts w:ascii="Times New Roman" w:cs="Times New Roman" w:eastAsia="Times New Roman" w:hAnsi="Times New Roman"/>
          <w:sz w:val="19"/>
          <w:szCs w:val="19"/>
          <w:color w:val="1E1E1E"/>
        </w:rPr>
        <w:t>Operators are continuing to virtualize and centralize their networks to</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make them more flexible and efficient. Wireless operators have deployed centralized radio access networks (CRAN) as a first step in the evolution to a virtualized radio access network. This enables servers and switches to replace some of the hardware-specific equipment that exists today and allows much of the processing to be performed on general purpose processors wherever and whenever it is needed throughout the network. Cable operators have also virtualized their networks by moving from a traditional converged cable access platform (CCAP) architecture to a distributed access architecture (DAA). This moves some of the processing from the head end to the node and virtualizes the rest on traditional switches and servers.</w:t>
      </w:r>
    </w:p>
    <w:p>
      <w:pPr>
        <w:spacing w:after="0" w:line="66" w:lineRule="exact"/>
        <w:rPr>
          <w:rFonts w:ascii="Times New Roman" w:cs="Times New Roman" w:eastAsia="Times New Roman" w:hAnsi="Times New Roman"/>
          <w:sz w:val="19"/>
          <w:szCs w:val="19"/>
          <w:color w:val="1E1E1E"/>
        </w:rPr>
      </w:pPr>
    </w:p>
    <w:p>
      <w:pPr>
        <w:ind w:left="720" w:right="220" w:hanging="360"/>
        <w:spacing w:after="0" w:line="249" w:lineRule="auto"/>
        <w:tabs>
          <w:tab w:leader="none" w:pos="72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 xml:space="preserve">Low Latency Services: </w:t>
      </w:r>
      <w:r>
        <w:rPr>
          <w:rFonts w:ascii="Times New Roman" w:cs="Times New Roman" w:eastAsia="Times New Roman" w:hAnsi="Times New Roman"/>
          <w:sz w:val="20"/>
          <w:szCs w:val="20"/>
          <w:color w:val="1E1E1E"/>
        </w:rPr>
        <w:t>To support the increased demands of a growing game-playing subscriber base, all operators are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continuing to seek new ways to reduce the latency and jitter of the gaming packet streams. Low latency Data Over Cable Service Interface Specification (DOCSIS) technologies are being added to CMTS and customer premises equipment (CPE) gear. Node-splits are also used to reduce congestion. Over time, we expect these low latency services to allow support of Web3.0 and the metaverse, as access networks are increasing and used in a more interactive way.</w:t>
      </w:r>
    </w:p>
    <w:p>
      <w:pPr>
        <w:sectPr>
          <w:pgSz w:w="11880" w:h="15480" w:orient="portrait"/>
          <w:cols w:equalWidth="0" w:num="1">
            <w:col w:w="10800"/>
          </w:cols>
          <w:pgMar w:left="540" w:top="12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w:t>
      </w:r>
    </w:p>
    <w:p>
      <w:pPr>
        <w:sectPr>
          <w:pgSz w:w="11880" w:h="15480" w:orient="portrait"/>
          <w:cols w:equalWidth="0" w:num="1">
            <w:col w:w="10800"/>
          </w:cols>
          <w:pgMar w:left="540" w:top="1240" w:right="540" w:bottom="0" w:gutter="0" w:footer="0" w:header="0"/>
          <w:type w:val="continuous"/>
        </w:sectPr>
      </w:pPr>
    </w:p>
    <w:bookmarkStart w:id="15" w:name="page16"/>
    <w:bookmarkEnd w:id="15"/>
    <w:p>
      <w:pPr>
        <w:ind w:left="720" w:right="160" w:hanging="360"/>
        <w:spacing w:after="0" w:line="250" w:lineRule="auto"/>
        <w:tabs>
          <w:tab w:leader="none" w:pos="72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Network Capacity Expansion</w:t>
      </w:r>
      <w:r>
        <w:rPr>
          <w:rFonts w:ascii="Times New Roman" w:cs="Times New Roman" w:eastAsia="Times New Roman" w:hAnsi="Times New Roman"/>
          <w:sz w:val="20"/>
          <w:szCs w:val="20"/>
          <w:b w:val="1"/>
          <w:bCs w:val="1"/>
          <w:color w:val="1E1E1E"/>
        </w:rPr>
        <w:t>:</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Network providers continue to be cognizant of the need to stay ahead of the traffic growth</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that occurs every year. This traffic growth results from increases in average subscriber consumption levels and in maximum service level agreement (SLA) levels. Cable providers are adding spectrum in both the upstream and downstream. Additionally, some operators are beginning their upgrade path to DOCSIS 4.0 in certain regions of their networks. New DOCSIS equipment is needed for this expansion.</w:t>
      </w:r>
    </w:p>
    <w:p>
      <w:pPr>
        <w:spacing w:after="0" w:line="72" w:lineRule="exact"/>
        <w:rPr>
          <w:rFonts w:ascii="Times New Roman" w:cs="Times New Roman" w:eastAsia="Times New Roman" w:hAnsi="Times New Roman"/>
          <w:sz w:val="20"/>
          <w:szCs w:val="20"/>
          <w:color w:val="1E1E1E"/>
        </w:rPr>
      </w:pPr>
    </w:p>
    <w:p>
      <w:pPr>
        <w:ind w:left="720" w:right="120" w:hanging="360"/>
        <w:spacing w:after="0" w:line="247" w:lineRule="auto"/>
        <w:tabs>
          <w:tab w:leader="none" w:pos="72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Government-Sponsored Broadband Improvements</w:t>
      </w:r>
      <w:r>
        <w:rPr>
          <w:rFonts w:ascii="Times New Roman" w:cs="Times New Roman" w:eastAsia="Times New Roman" w:hAnsi="Times New Roman"/>
          <w:sz w:val="20"/>
          <w:szCs w:val="20"/>
          <w:b w:val="1"/>
          <w:bCs w:val="1"/>
          <w:color w:val="1E1E1E"/>
        </w:rPr>
        <w:t>:</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Several government-sponsored programs aimed at improving the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Broadband infrastructure connecting to rural and other under-served areas launched in the second half of 2022. The funds from these programs and initiatives to build more equitable access—in particular, in the United States (U.S.), the Broadband Equity, Access, and Deployment (BEAD) Program, American Rescue Plan Act (ARPA), Rural Digital Opportunity Fund (RDOF)—are expected to drive technology and device sales across the board. The U.S. initiatives aim to ensure that every person in the U.S. has access to reliable and affordable broadband by 2030. While we saw minimal investment under the BEAD Program in 2024, we expect more funds to be distributed in the second half of 2025.</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Fiber Deep Deployments</w:t>
      </w:r>
    </w:p>
    <w:p>
      <w:pPr>
        <w:spacing w:after="0" w:line="11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1E1E1E"/>
        </w:rPr>
        <w:t>Residential and business bandwidth consumption continues to grow. The proliferation of OTT video, multiscreen viewing, cloud services and social media are continuing to prompt operators to accelerate fiber deployment. Operators are increasing network capacity by installing fiber deeper into their networks. Although consumer devices are increasingly connected to the network via a wireless connection such as LTE or Wi-Fi, these wireless access points must have abundant optical backhaul capacity available to provide consumers the experience they expect. Operators around the globe are deploying fiber deep to build next generation networks. These networks use the capabilities of fiber to enable consumers access to content at higher speeds with improved network response time.</w:t>
      </w:r>
    </w:p>
    <w:p>
      <w:pPr>
        <w:spacing w:after="0" w:line="200" w:lineRule="exact"/>
        <w:rPr>
          <w:sz w:val="20"/>
          <w:szCs w:val="20"/>
          <w:color w:val="auto"/>
        </w:rPr>
      </w:pPr>
    </w:p>
    <w:p>
      <w:pPr>
        <w:jc w:val="both"/>
        <w:ind w:right="400"/>
        <w:spacing w:after="0" w:line="253" w:lineRule="auto"/>
        <w:rPr>
          <w:sz w:val="20"/>
          <w:szCs w:val="20"/>
          <w:color w:val="auto"/>
        </w:rPr>
      </w:pPr>
      <w:r>
        <w:rPr>
          <w:rFonts w:ascii="Times New Roman" w:cs="Times New Roman" w:eastAsia="Times New Roman" w:hAnsi="Times New Roman"/>
          <w:sz w:val="20"/>
          <w:szCs w:val="20"/>
          <w:color w:val="1E1E1E"/>
        </w:rPr>
        <w:t>As networks improve and deliver higher speed and greater reliability, many operators have chosen to provide both residential and business services over a common physical layer infrastructure, saving them time and money. In addition, with the deployments of metro cells, outdoor small cells and fixed wireless broadband to the home, these same service providers are utilizing this common physical layer infrastructure to provide connectivity to these wireless access points.</w:t>
      </w:r>
    </w:p>
    <w:p>
      <w:pPr>
        <w:spacing w:after="0" w:line="190" w:lineRule="exact"/>
        <w:rPr>
          <w:sz w:val="20"/>
          <w:szCs w:val="20"/>
          <w:color w:val="auto"/>
        </w:rPr>
      </w:pPr>
    </w:p>
    <w:p>
      <w:pPr>
        <w:jc w:val="both"/>
        <w:ind w:right="420"/>
        <w:spacing w:after="0" w:line="279" w:lineRule="auto"/>
        <w:rPr>
          <w:sz w:val="20"/>
          <w:szCs w:val="20"/>
          <w:color w:val="auto"/>
        </w:rPr>
      </w:pPr>
      <w:r>
        <w:rPr>
          <w:rFonts w:ascii="Times New Roman" w:cs="Times New Roman" w:eastAsia="Times New Roman" w:hAnsi="Times New Roman"/>
          <w:sz w:val="20"/>
          <w:szCs w:val="20"/>
          <w:color w:val="1E1E1E"/>
        </w:rPr>
        <w:t>Ethernet passive optical networks (EPON) and XGS-PON are both being included in the plans of network operators, and we have developed optical line terminal (OLT) for both technologies.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Transition to Wi-Fi 7</w:t>
      </w:r>
    </w:p>
    <w:p>
      <w:pPr>
        <w:spacing w:after="0" w:line="118"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1E1E1E"/>
        </w:rPr>
        <w:t>Wi-Fi 7, the latest generation of tri-band (2.4/5/6GHz) Wi-Fi, is designed to deliver unparalleled performance. It aims to provide extremely high throughput, near-wired levels of latency and increased capacity, enabling immersive and content-rich wireless experiences in cutting-edge applications such as XR, gaming, 4K/8K streaming and real-time collaboration. Wi-Fi 7 is expected to deliver exceptional user experiences and empower an entirely new class of advanced connected devices and demanding applications through the most efficient use of spectrum.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Strategy</w:t>
      </w:r>
    </w:p>
    <w:p>
      <w:pPr>
        <w:spacing w:after="0" w:line="12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Since 2021, we have been engaged in a transformation initiative designed to drive shareholder value through three pillars: profitable growth, operational efficiency and portfolio optimization. We continue to focus on driving operational efficiencies and other cost savings initiatives, as well as portfolio optimization, all of which enabled us to take advantage of the recovery in demand that we started to see beginning in late 2024 and continuing through 2025. We continue to analyze the impacts of the recently announced tariffs under the current U.S. administration; however, we believe we have a manageable plan in place to prepare for potential impacts. Our approach of focusing on matters in our control has driven improved results in 2025 and will remain our focus into 2026.</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Profitable Growth</w:t>
      </w:r>
    </w:p>
    <w:p>
      <w:pPr>
        <w:spacing w:after="0" w:line="11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1E1E1E"/>
        </w:rPr>
        <w:t>Organic growth is fundamental to achieving the financial returns that investors expect from us. While acquisitions and inorganic growth can change the structure of a business and reset financial expectations resulting in short-term financial returns, the most reliable means for consistently producing long-term positive financial performance is strong organic growth. Our plan to achieve our growth opportunities are driven by five themes:</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w:t>
      </w:r>
    </w:p>
    <w:p>
      <w:pPr>
        <w:sectPr>
          <w:pgSz w:w="11880" w:h="15480" w:orient="portrait"/>
          <w:cols w:equalWidth="0" w:num="1">
            <w:col w:w="10800"/>
          </w:cols>
          <w:pgMar w:left="540" w:top="1235" w:right="540" w:bottom="0" w:gutter="0" w:footer="0" w:header="0"/>
          <w:type w:val="continuous"/>
        </w:sectPr>
      </w:pPr>
    </w:p>
    <w:bookmarkStart w:id="16" w:name="page17"/>
    <w:bookmarkEnd w:id="16"/>
    <w:p>
      <w:pPr>
        <w:ind w:left="980" w:right="360" w:hanging="490"/>
        <w:spacing w:after="0" w:line="278"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Become more market and customer centric – work to truly understand the needs of our customers and applications for data and video networking solutions.</w:t>
      </w:r>
    </w:p>
    <w:p>
      <w:pPr>
        <w:spacing w:after="0" w:line="60" w:lineRule="exact"/>
        <w:rPr>
          <w:rFonts w:ascii="Arial" w:cs="Arial" w:eastAsia="Arial" w:hAnsi="Arial"/>
          <w:sz w:val="20"/>
          <w:szCs w:val="20"/>
          <w:color w:val="1E1E1E"/>
        </w:rPr>
      </w:pPr>
    </w:p>
    <w:p>
      <w:pPr>
        <w:ind w:left="980" w:right="440" w:hanging="490"/>
        <w:spacing w:after="0" w:line="278"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Expand to service providers outside of North America – expand market share with service providers in the rest of the world.</w:t>
      </w:r>
    </w:p>
    <w:p>
      <w:pPr>
        <w:spacing w:after="0" w:line="60" w:lineRule="exact"/>
        <w:rPr>
          <w:rFonts w:ascii="Arial" w:cs="Arial" w:eastAsia="Arial" w:hAnsi="Arial"/>
          <w:sz w:val="20"/>
          <w:szCs w:val="20"/>
          <w:color w:val="1E1E1E"/>
        </w:rPr>
      </w:pPr>
    </w:p>
    <w:p>
      <w:pPr>
        <w:ind w:left="980" w:right="400" w:hanging="490"/>
        <w:spacing w:after="0" w:line="278"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Expand enterprise sales coverage – enhance sales coverage in historically underpenetrated top metropolitan statistical areas and verticals in North America, as well as targeted country/vertical combinations around the world.</w:t>
      </w:r>
    </w:p>
    <w:p>
      <w:pPr>
        <w:spacing w:after="0" w:line="60" w:lineRule="exact"/>
        <w:rPr>
          <w:rFonts w:ascii="Arial" w:cs="Arial" w:eastAsia="Arial" w:hAnsi="Arial"/>
          <w:sz w:val="20"/>
          <w:szCs w:val="20"/>
          <w:color w:val="1E1E1E"/>
        </w:rPr>
      </w:pPr>
    </w:p>
    <w:p>
      <w:pPr>
        <w:ind w:left="980" w:right="900" w:hanging="490"/>
        <w:spacing w:after="0" w:line="278" w:lineRule="auto"/>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Introduce new products and scale software solutions – build and scale our differentiated products, software and technology.</w:t>
      </w:r>
    </w:p>
    <w:p>
      <w:pPr>
        <w:spacing w:after="0" w:line="60"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Invest in capacity – expand capacity for products with high backlog, fast growth and long-term demand visibility.</w:t>
      </w:r>
    </w:p>
    <w:p>
      <w:pPr>
        <w:spacing w:after="0" w:line="19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1E1E1E"/>
        </w:rPr>
        <w:t>The underpinning of our growth opportunities is also optimizing pricing across our products and solutions. We are revamping our pricing processes, policies, tools and governance structure to simplify and create more ownership and accountability so that we can better react to changes in the market and maintain acceptable margins.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Operational Efficiency</w:t>
      </w:r>
    </w:p>
    <w:p>
      <w:pPr>
        <w:spacing w:after="0" w:line="11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We are pursuing strategic initiatives aimed at optimizing our utilization of resources by improving direct procurement processes, increasing transparency and control over indirect procurement spend, driving operational improvements to lower costs and streamlining and optimizing our period overhead cost structure. Our management team has a strong track record of improving operational efficiency and successfully executing on formalized annual profit improvement plans, cost-savings initiatives and working capital improvements to drive future profitability and cash flow.</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Portfolio Optimization</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We utilize a general management model in our segments. This enables us to manage our portfolio more granularly, assign responsibilities and build a culture of accountability and ownership. We continuously review our portfolio and look for ways to better manage and optimize our product offerings. We also regularly review our product offerings, business lines and segments and holistically assess opportunities to deliver the most value to stakeholders.</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As a step in optimizing our portfolio, we have proven our commitment in determining the ideal strategic opportunities for the CCS segment, OWN segment, DAS business unit, OneCell business and Home business. As discussed above, we believe the divestitures of the CCS segment subsequent to fiscal year end in January 2026, the OneCell business in May 2025, the OWN segment and DAS business unit in January 2025 and the Home business in January 2024 were the optimal opportunities for their future success.</w:t>
      </w:r>
    </w:p>
    <w:p>
      <w:pPr>
        <w:spacing w:after="0" w:line="19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1E1E1E"/>
        </w:rPr>
        <w:t>Additionally, we completed the Casa Transaction in June 2024 which has strengthened our Aurora (formerly ANS) segment’s position by enhancing the segment’s virtual cable modem termination systems and passive optical network product offerings.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Future</w:t>
      </w:r>
    </w:p>
    <w:p>
      <w:pPr>
        <w:spacing w:after="0" w:line="1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1E1E1E"/>
        </w:rPr>
        <w:t>We are already positioned as a leader in our current segments and will work to defend our leadership in the more mature parts of these markets, while also shifting resources towards our targeted growth choices within them. With our transformation initiatives, we are striving to achieve the following:</w:t>
      </w:r>
    </w:p>
    <w:p>
      <w:pPr>
        <w:spacing w:after="0" w:line="80" w:lineRule="exact"/>
        <w:rPr>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Deliver organic growth</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Create a well-positioned comprehensive portfolio of products and services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Stimulate market leading innovation, delivering powerful software and services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Maintain world class operational efficiency and cost structures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Architect a simplified organization, with more accountability, responsibility and visibility</w:t>
      </w:r>
    </w:p>
    <w:p>
      <w:pPr>
        <w:sectPr>
          <w:pgSz w:w="11880" w:h="15480" w:orient="portrait"/>
          <w:cols w:equalWidth="0" w:num="1">
            <w:col w:w="10780"/>
          </w:cols>
          <w:pgMar w:left="540" w:top="1253"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7</w:t>
      </w:r>
    </w:p>
    <w:p>
      <w:pPr>
        <w:sectPr>
          <w:pgSz w:w="11880" w:h="15480" w:orient="portrait"/>
          <w:cols w:equalWidth="0" w:num="1">
            <w:col w:w="10780"/>
          </w:cols>
          <w:pgMar w:left="540" w:top="1253" w:right="560" w:bottom="0" w:gutter="0" w:footer="0" w:header="0"/>
          <w:type w:val="continuous"/>
        </w:sectPr>
      </w:pPr>
    </w:p>
    <w:bookmarkStart w:id="17" w:name="page18"/>
    <w:bookmarkEnd w:id="17"/>
    <w:p>
      <w:pPr>
        <w:ind w:right="60"/>
        <w:spacing w:after="0" w:line="253" w:lineRule="auto"/>
        <w:rPr>
          <w:sz w:val="20"/>
          <w:szCs w:val="20"/>
          <w:color w:val="auto"/>
        </w:rPr>
      </w:pPr>
      <w:r>
        <w:rPr>
          <w:rFonts w:ascii="Times New Roman" w:cs="Times New Roman" w:eastAsia="Times New Roman" w:hAnsi="Times New Roman"/>
          <w:sz w:val="20"/>
          <w:szCs w:val="20"/>
          <w:color w:val="1E1E1E"/>
        </w:rPr>
        <w:t>Our transformation initiatives allow us to continue transforming our organization into one that has better operational efficiency, speed and resilience and one that can better service our existing customers, as well as new ones. As demand in our industry has recovered, we expect our transformation initiative to continue driving adjusted EBITDA expansion that will enable us to increase our cash flow and further invest in our growth.</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Customers</w:t>
      </w:r>
    </w:p>
    <w:p>
      <w:pPr>
        <w:spacing w:after="0" w:line="12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1E1E1E"/>
        </w:rPr>
        <w:t>Our customers include substantially all the leading global telecommunications operators, data center managers, cable television providers or MSOs and thousands of enterprise customers, including many Fortune 500 companies. Major customers and distributors include companies such as Comcast Corporation (Comcast); TD SYNNEX Corporation; Charter Communications, Inc.; WAV, LLC; Rogers Communication Inc.; Optimum Communications, Inc.; and Exclusive Networks USA, Inc. For the year ended December 31, 2025, we derived approximately 35% of our consolidated net sales from our top direct customer.</w:t>
      </w:r>
    </w:p>
    <w:p>
      <w:pPr>
        <w:spacing w:after="0" w:line="19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Products from our RUCKUS segment are primarily sold through independent distributors or system integrators for large telecommunications operators and to customers in a broad range of enterprise vertical markets, including hospitality, education, smart cities, government, venues and service providers, indirectly through channel partners. We also sell directly to managed service providers (MSPs) and service providers that deploy broadband networks. In certain circumstances, we sell RUCKUS segment products directly to end customers, but it is a relatively small part of the overall business.</w:t>
      </w:r>
    </w:p>
    <w:p>
      <w:pPr>
        <w:spacing w:after="0" w:line="19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Products from our Aurora segment are primarily sold directly to wireline network service providers, such as telephone companies and cable television network providers, to be deployed into their service delivery networks. In some cases, we sell through specialized resellers and distributors who primarily provide logistics support, and in certain circumstances, post-sale service and support. Our customer service and engineering groups maintain close working relationships with these customers due to the significant amount of customization associated with some of these products. We sell these products to most of the wireline and satellite operators globally.</w:t>
      </w:r>
    </w:p>
    <w:p>
      <w:pPr>
        <w:spacing w:after="0" w:line="19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1E1E1E"/>
        </w:rPr>
        <w:t>We generally have no minimum purchase commitments from any of our distributors, system integrators, channel partners, value-added resellers, wireless operators or OEM customers, and our contracts with these parties generally do not prohibit them from purchasing from our competitors or offering products or services that compete with ours. Although we maintain long-term relationships with these parties and have not historically lost key customers, we have experienced significant variability in the level of purchases by our key customers. Any significant reduction in sales to these customers, including as a result of the inability or unwillingness of these customers to continue purchasing our products, could materially and adversely affect our business, financial condition, results of operations and cash flows. See Part 1, Item 1A, “Risk Factors.”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Competition</w:t>
      </w:r>
    </w:p>
    <w:p>
      <w:pPr>
        <w:spacing w:after="0" w:line="123" w:lineRule="exact"/>
        <w:rPr>
          <w:sz w:val="20"/>
          <w:szCs w:val="20"/>
          <w:color w:val="auto"/>
        </w:rPr>
      </w:pPr>
    </w:p>
    <w:p>
      <w:pPr>
        <w:jc w:val="both"/>
        <w:ind w:right="560"/>
        <w:spacing w:after="0" w:line="259" w:lineRule="auto"/>
        <w:rPr>
          <w:sz w:val="20"/>
          <w:szCs w:val="20"/>
          <w:color w:val="auto"/>
        </w:rPr>
      </w:pPr>
      <w:r>
        <w:rPr>
          <w:rFonts w:ascii="Times New Roman" w:cs="Times New Roman" w:eastAsia="Times New Roman" w:hAnsi="Times New Roman"/>
          <w:sz w:val="20"/>
          <w:szCs w:val="20"/>
          <w:color w:val="1E1E1E"/>
        </w:rPr>
        <w:t>The markets in which we participate are dynamic and highly competitive, requiring companies to react quickly to capitalize on opportunity. We retain skilled and experienced personnel and deploy substantial resources to meet the changing demands of the industry and to capitalize on change. The market for our products is also subject to rapid technological change.</w:t>
      </w:r>
    </w:p>
    <w:p>
      <w:pPr>
        <w:spacing w:after="0" w:line="18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We encounter significant domestic and international competition across all segments of our business. Our competitors include large, diversified companies some of whom have substantially more assets and greater financial resources than we do. We also face competition from small to medium-sized companies and less diversified companies that have concentrated efforts in one or more areas of the markets we serve. Major competitors by segment include the following: RUCKUS segment – Cisco Systems, Inc., Extreme Networks, Inc., Hewlett Packard Enterprise Development LP, Huawei Technologies Co., Ltd., and Ubiquiti Inc.; and Aurora segment – ATX Networks Corp., Harmonic Inc., Technetix Group Limited, Teleste Oyj and Vecima Networks Inc.</w:t>
      </w:r>
    </w:p>
    <w:p>
      <w:pPr>
        <w:spacing w:after="0" w:line="20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1E1E1E"/>
        </w:rPr>
        <w:t>We compete primarily on the basis of delivering solutions, product specifications, quality, price, customer service and delivery time. We believe that we differentiate ourselves in many of our markets based on our market leadership, global sales channels, intellectual property, strong reputation with our customer base, the scope of our product offering, the quality and performance of our solutions, and our service and technical support.</w:t>
      </w:r>
    </w:p>
    <w:p>
      <w:pPr>
        <w:sectPr>
          <w:pgSz w:w="11880" w:h="15480" w:orient="portrait"/>
          <w:cols w:equalWidth="0" w:num="1">
            <w:col w:w="10780"/>
          </w:cols>
          <w:pgMar w:left="540" w:top="123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8</w:t>
      </w:r>
    </w:p>
    <w:p>
      <w:pPr>
        <w:sectPr>
          <w:pgSz w:w="11880" w:h="15480" w:orient="portrait"/>
          <w:cols w:equalWidth="0" w:num="1">
            <w:col w:w="10780"/>
          </w:cols>
          <w:pgMar w:left="540" w:top="1238" w:right="5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1E1E1E"/>
        </w:rPr>
        <w:t>Competitive Strengths</w:t>
      </w:r>
    </w:p>
    <w:p>
      <w:pPr>
        <w:spacing w:after="0" w:line="12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We are a global leader in connectivity and essential infrastructure solutions for communications, enterprise, service provider and entertainment networks. We operate through our Aurora and RUCKUS segments, and we believe we hold leading market positions in key areas of our business. In the cable television and video network equipment industry, Aurora is a longstanding market leader, offering products historically sold under the ARRIS brand, including infrastructure and access network solutions. Through RUCKUS, we provide purpose-driven networking solutions to customers across the enterprise, including hard radio frequency/high density environments such as stadiums, campuses, hospitality and multi-dwelling units.</w:t>
      </w:r>
    </w:p>
    <w:p>
      <w:pPr>
        <w:spacing w:after="0" w:line="200" w:lineRule="exact"/>
        <w:rPr>
          <w:sz w:val="20"/>
          <w:szCs w:val="20"/>
          <w:color w:val="auto"/>
        </w:rPr>
      </w:pPr>
    </w:p>
    <w:p>
      <w:pPr>
        <w:ind w:right="1440"/>
        <w:spacing w:after="0" w:line="279" w:lineRule="auto"/>
        <w:rPr>
          <w:sz w:val="20"/>
          <w:szCs w:val="20"/>
          <w:color w:val="auto"/>
        </w:rPr>
      </w:pPr>
      <w:r>
        <w:rPr>
          <w:rFonts w:ascii="Times New Roman" w:cs="Times New Roman" w:eastAsia="Times New Roman" w:hAnsi="Times New Roman"/>
          <w:sz w:val="20"/>
          <w:szCs w:val="20"/>
          <w:color w:val="1E1E1E"/>
        </w:rPr>
        <w:t>We believe the following competitive strengths have been instrumental to our success and position us well for future growth and strong financial performance: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Differentiated Solutions Supported by Ongoing Innovation and Significant Proprietary Intellectual Property</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Our integrated solutions for building better networks are differentiated in the marketplace and are a significant global competitive advantage. We invested $283.5 million in research and development (R&amp;D) during 2025 to advance product innovation and decrease total cost of deployment and ownership. Our ongoing innovation, supported by proprietary intellectual property and technology know-how, has allowed us to build and sustain a competitive advantage.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Established Sales Channels and Customer Relationships</w:t>
      </w:r>
    </w:p>
    <w:p>
      <w:pPr>
        <w:spacing w:after="0" w:line="11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We serve customers in over 70 countries and have become a trusted advisor to many of them through our industry expertise, quality products, leading technology and long-term relationships. These factors enable us to provide mission-critical connectivity solutions that our customers need to build and maintain high-performing communication networks. Our customers include substantially all the leading global telecommunications operators, data center managers, cable television providers or MSOs and thousands of enterprise customers, including many Fortune 500 companies. We are a key supplier within the wireless infrastructure market and enjoy established sales channels across all geographies and technologies. Our long-standing relationships with telecommunications operators enable us to work closely with them in providing highly customized solutions aligned with their technology roadmaps. We have a global sales force with sales representatives based in North America, Europe, Latin America, Asia and other regions, and an extensive global network of channel partners, including independent distributors, system integrators and value-added resellers. Our sales force has direct relationships with our customers and end users which generates demand for our products, with a significant portion of our sales fulfilled through channel partners. Our direct sales force and channel partner relationships give us extensive reach and distribution capabilities to customers globally. Given our understanding of their existing networks, when it comes to deploying networks at scale, these customers trust us and hold high regards for our ability to help them achieve their goals.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Global Scale and Quality</w:t>
      </w:r>
    </w:p>
    <w:p>
      <w:pPr>
        <w:spacing w:after="0" w:line="1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1E1E1E"/>
        </w:rPr>
        <w:t>Our global manufacturing and distribution footprint and worldwide sales force give us significant scale within our addressable markets. We believe our scale, stability and quality make us an attractive strategic partner to our large global customers, and we have been repeatedly recognized by key customers for these attributes.</w:t>
      </w:r>
    </w:p>
    <w:p>
      <w:pPr>
        <w:spacing w:after="0" w:line="185"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1E1E1E"/>
        </w:rPr>
        <w:t>The combination of our dynamic manufacturing organization, our global network of third-party manufacturers and our distribution organization allows us to:</w:t>
      </w:r>
    </w:p>
    <w:p>
      <w:pPr>
        <w:spacing w:after="0" w:line="60" w:lineRule="exact"/>
        <w:rPr>
          <w:sz w:val="20"/>
          <w:szCs w:val="20"/>
          <w:color w:val="auto"/>
        </w:rPr>
      </w:pPr>
    </w:p>
    <w:p>
      <w:pPr>
        <w:ind w:left="720" w:hanging="360"/>
        <w:spacing w:after="0"/>
        <w:tabs>
          <w:tab w:leader="none" w:pos="72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Flex our capacity to meet market demand and expand our market position;</w:t>
      </w:r>
    </w:p>
    <w:p>
      <w:pPr>
        <w:spacing w:after="0" w:line="133" w:lineRule="exact"/>
        <w:rPr>
          <w:rFonts w:ascii="Arial" w:cs="Arial" w:eastAsia="Arial" w:hAnsi="Arial"/>
          <w:sz w:val="20"/>
          <w:szCs w:val="20"/>
          <w:color w:val="1E1E1E"/>
        </w:rPr>
      </w:pPr>
    </w:p>
    <w:p>
      <w:pPr>
        <w:ind w:left="720" w:hanging="360"/>
        <w:spacing w:after="0"/>
        <w:tabs>
          <w:tab w:leader="none" w:pos="72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Deliver high-quality customer solutions;</w:t>
      </w:r>
    </w:p>
    <w:p>
      <w:pPr>
        <w:spacing w:after="0" w:line="133" w:lineRule="exact"/>
        <w:rPr>
          <w:rFonts w:ascii="Arial" w:cs="Arial" w:eastAsia="Arial" w:hAnsi="Arial"/>
          <w:sz w:val="20"/>
          <w:szCs w:val="20"/>
          <w:color w:val="1E1E1E"/>
        </w:rPr>
      </w:pPr>
    </w:p>
    <w:p>
      <w:pPr>
        <w:ind w:left="720" w:hanging="360"/>
        <w:spacing w:after="0"/>
        <w:tabs>
          <w:tab w:leader="none" w:pos="72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Provide high customer service levels due to proximity to the customer; and</w:t>
      </w:r>
    </w:p>
    <w:p>
      <w:pPr>
        <w:spacing w:after="0" w:line="133" w:lineRule="exact"/>
        <w:rPr>
          <w:rFonts w:ascii="Arial" w:cs="Arial" w:eastAsia="Arial" w:hAnsi="Arial"/>
          <w:sz w:val="20"/>
          <w:szCs w:val="20"/>
          <w:color w:val="1E1E1E"/>
        </w:rPr>
      </w:pPr>
    </w:p>
    <w:p>
      <w:pPr>
        <w:ind w:left="720" w:hanging="360"/>
        <w:spacing w:after="0"/>
        <w:tabs>
          <w:tab w:leader="none" w:pos="72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Effectively integrate acquisitions and capitalize on related synergies.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Manufacturing and Distribution</w:t>
      </w:r>
    </w:p>
    <w:p>
      <w:pPr>
        <w:spacing w:after="0" w:line="1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We maintain a balance of internal and external manufacturing providers to continue offering our customers a competitive combination of quality, cost and flexibility in meeting their needs. We develop, design, fabricate, manufacture and assemble many of our products and solutions in-house at our facility. We have strategically located our manufacturing and distribution facility to provide superior service levels to customers. We utilize a lower-cost geography for high labor content products.</w:t>
      </w:r>
    </w:p>
    <w:p>
      <w:pPr>
        <w:sectPr>
          <w:pgSz w:w="11880" w:h="15480" w:orient="portrait"/>
          <w:cols w:equalWidth="0" w:num="1">
            <w:col w:w="10780"/>
          </w:cols>
          <w:pgMar w:left="540" w:top="1235" w:right="56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9</w:t>
      </w:r>
    </w:p>
    <w:p>
      <w:pPr>
        <w:sectPr>
          <w:pgSz w:w="11880" w:h="15480" w:orient="portrait"/>
          <w:cols w:equalWidth="0" w:num="1">
            <w:col w:w="10780"/>
          </w:cols>
          <w:pgMar w:left="540" w:top="1235" w:right="560" w:bottom="0" w:gutter="0" w:footer="0" w:header="0"/>
          <w:type w:val="continuous"/>
        </w:sectPr>
      </w:pPr>
    </w:p>
    <w:bookmarkStart w:id="19" w:name="page20"/>
    <w:bookmarkEnd w:id="19"/>
    <w:p>
      <w:pPr>
        <w:jc w:val="both"/>
        <w:ind w:right="40"/>
        <w:spacing w:after="0" w:line="259" w:lineRule="auto"/>
        <w:rPr>
          <w:sz w:val="20"/>
          <w:szCs w:val="20"/>
          <w:color w:val="auto"/>
        </w:rPr>
      </w:pPr>
      <w:r>
        <w:rPr>
          <w:rFonts w:ascii="Times New Roman" w:cs="Times New Roman" w:eastAsia="Times New Roman" w:hAnsi="Times New Roman"/>
          <w:sz w:val="20"/>
          <w:szCs w:val="20"/>
          <w:color w:val="1E1E1E"/>
        </w:rPr>
        <w:t>In addition, we utilize contract manufacturers located throughout the world for many of our product groups, including certain products in our Aurora segment and all of our RUCKUS products. There can be no guarantee that the Company will be able to extend or renew agreements with contract manufacturers on similar terms, or at all.</w:t>
      </w:r>
    </w:p>
    <w:p>
      <w:pPr>
        <w:spacing w:after="0" w:line="1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1E1E1E"/>
        </w:rPr>
        <w:t>Our global footprint allows us to mitigate macroeconomic headwinds in an everchanging environment. We continuously evaluate and adjust operations to improve service, lower cost and improve the return on our capital investments, and we expect to continue modifying our global operations to adapt to changing product demand and business conditions.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Raw Materials and Components</w:t>
      </w:r>
    </w:p>
    <w:p>
      <w:pPr>
        <w:spacing w:after="0" w:line="12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1E1E1E"/>
        </w:rPr>
        <w:t>Our products are manufactured or assembled from both standard components and parts that are unique to our specifications. Our internal manufacturing operation is largely process oriented and we use significant quantities of various raw materials, including aluminum, copper, steel and optical fiber, among others. Portions of the requirements for these materials are purchased under supply arrangements where some portion of the unit pricing may be indexed to commodity market prices for these metals. We may occasionally enter forward purchase commitments or otherwise secure availability for specific commodities to mitigate our exposure to price changes for a portion of our anticipated purchases. Certain of the raw materials utilized in our products may only be available from a few suppliers, and we may enter into longer term agreements to secure access to certain key inputs. We may, therefore, encounter significant price increases and/or availability issues for the materials we obtain from these suppliers as we have seen in recent years. These supply chain constraints have limited our ability to manufacture and deliver products to our customers in the past and could have similar impacts in the future.</w:t>
      </w:r>
    </w:p>
    <w:p>
      <w:pPr>
        <w:spacing w:after="0" w:line="2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Our profitability has been and may continue to be materially affected by changes in the market price of our raw materials and components, most of which are linked to the commodity markets. Prices for aluminum, copper and silicon derived from oil and natural gas have fluctuated substantially during the past several years. We have adjusted our prices for certain products and may have to adjust prices again. Delays in implementing price increases, failure to achieve market acceptance of price increases, or price reductions in response to a rapid decline in raw material costs, could have a material adverse impact on the results of our operations.</w:t>
      </w:r>
    </w:p>
    <w:p>
      <w:pPr>
        <w:spacing w:after="0" w:line="19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1E1E1E"/>
        </w:rPr>
        <w:t>In addition, some of our products are assembled from specialized components and subassemblies manufactured by third-party suppliers. We depend upon sole suppliers for certain of these components, including capacitors, memory devices and silicon chips. Our results of operations have been and may continue to be materially affected if these suppliers cannot provide these components in sufficient quantity and quality on a timely and cost-efficient basis. We believe that our supply contracts and our supplier contingency plans mitigate some of this risk. Our supply agreements include technology licensing and component purchase contracts, and several of our competitors have similar supply agreements for these components. There can be no guarantee that the Company will be able to extend or renew these supply agreements on similar terms, or at all. In addition, we license software for operating network and security systems or sub-systems and a variety of routing protocols from different suppliers.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Research and Development</w:t>
      </w:r>
    </w:p>
    <w:p>
      <w:pPr>
        <w:spacing w:after="0" w:line="12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1E1E1E"/>
        </w:rPr>
        <w:t>We operate in an industry that is subject to rapid changes in technology, and our success is largely contingent upon anticipating and reacting to such changes. Accordingly, R&amp;D is important to preserve and expand our position as a market leader and to provide the most technologically advanced solutions in the marketplace. We invested $283.5 million in R&amp;D during 2025, and we expect to continue with certain investments in future years. We intend to focus our major R&amp;D activities on high-growth opportunities such as Wi-Fi 7 and 6GHz, cloud management systems, AI-driven network automation and converged operational/information technology solutions, CCAP, DAA, DOCSIS 4.0 and passive optical network (PON). We are also developing solutions that support the convergence of wired and wireless networks in connection with the rollout of 5G. Several of our professionals are leaders and active contributors in standards-setting organizations, which helps ensure that our products can be formulated to achieve broad market acceptance.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Backlog and Seasonality</w:t>
      </w:r>
    </w:p>
    <w:p>
      <w:pPr>
        <w:spacing w:after="0" w:line="1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At December 31, 2025 and 2024, we had an order backlog of $631.8 million and $609.2 million, respectively. Orders typically fluctuate from quarter to quarter based on customer demand and general business conditions. Our backlog includes only orders that are believed to be firm. Sometimes, unfilled orders may be canceled prior to shipment of goods, but cancellations historically have not been material. However, our current order backlog may not guarantee future demand. We expect a majority of our backlog as of December 31, 2025 to be recognized as revenue during 2026.</w:t>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10</w:t>
      </w:r>
    </w:p>
    <w:p>
      <w:pPr>
        <w:sectPr>
          <w:pgSz w:w="11880" w:h="15480" w:orient="portrait"/>
          <w:cols w:equalWidth="0" w:num="1">
            <w:col w:w="10800"/>
          </w:cols>
          <w:pgMar w:left="540" w:top="1238" w:right="540" w:bottom="0" w:gutter="0" w:footer="0" w:header="0"/>
          <w:type w:val="continuous"/>
        </w:sectPr>
      </w:pPr>
    </w:p>
    <w:bookmarkStart w:id="20" w:name="page21"/>
    <w:bookmarkEnd w:id="20"/>
    <w:p>
      <w:pPr>
        <w:ind w:right="40"/>
        <w:spacing w:after="0" w:line="253" w:lineRule="auto"/>
        <w:rPr>
          <w:sz w:val="20"/>
          <w:szCs w:val="20"/>
          <w:color w:val="auto"/>
        </w:rPr>
      </w:pPr>
      <w:r>
        <w:rPr>
          <w:rFonts w:ascii="Times New Roman" w:cs="Times New Roman" w:eastAsia="Times New Roman" w:hAnsi="Times New Roman"/>
          <w:sz w:val="20"/>
          <w:szCs w:val="20"/>
          <w:color w:val="1E1E1E"/>
        </w:rPr>
        <w:t>Due to the variability of shipments under large contracts, customers’ seasonal installation considerations and variations in product mix and in profitability of individual orders, we can experience significant fluctuations in quarterly sales and operating income. Our operating performance is typically the weakest during the first quarter, and this pattern is expected to continue in the future. It may be more meaningful to focus on our annual rather than interim results.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Patents and Trademarks</w:t>
      </w:r>
    </w:p>
    <w:p>
      <w:pPr>
        <w:spacing w:after="0" w:line="1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We pursue an active policy of seeking intellectual property protection, including patents and registered trademarks, for new products and designs. For technology that is not owned by us, we have a program for obtaining appropriate licenses to help ensure that we have the necessary license coverage for our products. In addition, we have formed strategic relationships with leading technology companies to provide us with early access to technology that we believe will help keep us at the forefront of our industry.</w:t>
      </w:r>
    </w:p>
    <w:p>
      <w:pPr>
        <w:spacing w:after="0" w:line="1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1E1E1E"/>
        </w:rPr>
        <w:t>As of December 31, 2025, we held over 2,700 patents and patent applications and over 590 registered trademarks and trademark applications worldwide. Over the next five years, approximately 228, or 12%, of our issued patents will expire, while at the same time</w:t>
      </w:r>
    </w:p>
    <w:p>
      <w:pPr>
        <w:spacing w:after="0" w:line="236" w:lineRule="auto"/>
        <w:rPr>
          <w:sz w:val="20"/>
          <w:szCs w:val="20"/>
          <w:color w:val="auto"/>
        </w:rPr>
      </w:pPr>
      <w:r>
        <w:rPr>
          <w:rFonts w:ascii="Times New Roman" w:cs="Times New Roman" w:eastAsia="Times New Roman" w:hAnsi="Times New Roman"/>
          <w:sz w:val="20"/>
          <w:szCs w:val="20"/>
          <w:color w:val="1E1E1E"/>
        </w:rPr>
        <w:t>we intend to seek patents protecting new innovations</w:t>
      </w:r>
      <w:r>
        <w:rPr>
          <w:rFonts w:ascii="Calibri" w:cs="Calibri" w:eastAsia="Calibri" w:hAnsi="Calibri"/>
          <w:sz w:val="22"/>
          <w:szCs w:val="22"/>
          <w:i w:val="1"/>
          <w:iCs w:val="1"/>
          <w:color w:val="1E1E1E"/>
        </w:rPr>
        <w:t>.</w:t>
      </w:r>
      <w:r>
        <w:rPr>
          <w:rFonts w:ascii="Times New Roman" w:cs="Times New Roman" w:eastAsia="Times New Roman" w:hAnsi="Times New Roman"/>
          <w:sz w:val="20"/>
          <w:szCs w:val="20"/>
          <w:color w:val="1E1E1E"/>
        </w:rPr>
        <w:t xml:space="preserve"> We consider our patents and trademarks to be valuable assets, and although no</w:t>
      </w:r>
    </w:p>
    <w:p>
      <w:pPr>
        <w:ind w:right="120"/>
        <w:spacing w:after="0" w:line="249" w:lineRule="auto"/>
        <w:rPr>
          <w:sz w:val="20"/>
          <w:szCs w:val="20"/>
          <w:color w:val="auto"/>
        </w:rPr>
      </w:pPr>
      <w:r>
        <w:rPr>
          <w:rFonts w:ascii="Times New Roman" w:cs="Times New Roman" w:eastAsia="Times New Roman" w:hAnsi="Times New Roman"/>
          <w:sz w:val="20"/>
          <w:szCs w:val="20"/>
          <w:color w:val="1E1E1E"/>
        </w:rPr>
        <w:t>single patent is material to our overall operations, we believe the RUCKUS NETWORKS, AURORA NETWORKS and VISTANCE NETWORKS trade names and related trademarks are important assets to our business. We intend to rely on our intellectual property rights, including our proprietary knowledge, trade secrets and continuing technological innovation, to develop and maintain our competitive position. From time to time there are disputes with respect to the ownership of the technology used in our industry and accusations of patent infringements. We will continue to protect our key intellectual property rights.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Government Regulation</w:t>
      </w:r>
    </w:p>
    <w:p>
      <w:pPr>
        <w:spacing w:after="0" w:line="1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We are subject to various domestic and international government regulations. For example, our international operations expose us to increased challenges in complying with anti-corruption laws and regulations of the U.S. government and various other international jurisdictions. We are also subject to governmental export and import regulations and sanctions programs that could subject us to liability or impair our ability to compete in international markets. In addition, because of the nature of information that may pass through or is stored on our solutions or networks, we and our end customers may be subject to complex and evolving U.S. and foreign laws and regulations regarding information privacy, data protection, cybersecurity and other matters. Further, we are subject to various federal, state, local and foreign environmental laws and regulations governing, among other things, substances used in our products, discharges to air and water, management of regulated materials, handling and disposal of solid and hazardous waste, and investigation and remediation of contaminated sites. These descriptions are not exhaustive, and these laws, regulations and rules frequently change and are increasing in number. See Part I, Item 1A, “Risk Factors” for additional discussion of our risks related to government laws and regulations.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Corporate Responsibility and Sustainability</w:t>
      </w:r>
    </w:p>
    <w:p>
      <w:pPr>
        <w:spacing w:after="0" w:line="12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1E1E1E"/>
        </w:rPr>
        <w:t>We believe that corporate responsibility and sustainability means making decisions that have a positive impact on our people, planet and bottom line. Our company-wide sustainability mission is to enable faster, smarter and more sustainable solutions while demonstrating the utmost respect for our human and natural resources. Innovative technology, intelligent engineering and energy efficient design help us to build more sustainable networks that make our customers more agile, while at the same time allowing us to preserve the natural ecosystems from which we source our raw materials.</w:t>
      </w:r>
    </w:p>
    <w:p>
      <w:pPr>
        <w:spacing w:after="0" w:line="19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1E1E1E"/>
        </w:rPr>
        <w:t>While we may provide technological solutions, it is our people who make the real difference in our communities. Their commitment to our customers, fellow employees and the communities in which they live and work drives them to provide creative solutions, services and practices that are safe and sustainable for our environment and future generations.</w:t>
      </w:r>
    </w:p>
    <w:p>
      <w:pPr>
        <w:spacing w:after="0" w:line="185"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9"/>
          <w:szCs w:val="19"/>
          <w:color w:val="1E1E1E"/>
        </w:rPr>
        <w:t>We understand how important it is to consider the larger impact of our actions beyond the balance sheet. We are proud of our significant standing in one of the world’s most vital and dynamic industries. We are making great progress in delivering our sustainability actions while advancing the industry and creating a better and sustainable tomorrow. For the sake of our current and future generations, we will continue to grow as a sustainable, environmentally conscious business that benefits the whole planet.</w:t>
      </w:r>
    </w:p>
    <w:p>
      <w:pPr>
        <w:spacing w:after="0" w:line="177" w:lineRule="exact"/>
        <w:rPr>
          <w:sz w:val="20"/>
          <w:szCs w:val="20"/>
          <w:color w:val="auto"/>
        </w:rPr>
      </w:pPr>
    </w:p>
    <w:p>
      <w:pPr>
        <w:jc w:val="both"/>
        <w:ind w:right="940"/>
        <w:spacing w:after="0" w:line="259" w:lineRule="auto"/>
        <w:rPr>
          <w:sz w:val="20"/>
          <w:szCs w:val="20"/>
          <w:color w:val="auto"/>
        </w:rPr>
      </w:pPr>
      <w:r>
        <w:rPr>
          <w:rFonts w:ascii="Times New Roman" w:cs="Times New Roman" w:eastAsia="Times New Roman" w:hAnsi="Times New Roman"/>
          <w:sz w:val="20"/>
          <w:szCs w:val="20"/>
          <w:color w:val="1E1E1E"/>
        </w:rPr>
        <w:t xml:space="preserve">For additional information, which is not incorporated by reference in this Annual Report on Form 10-K, see our Corporate Responsibility &amp; Sustainability pages on the our website: </w:t>
      </w:r>
      <w:r>
        <w:rPr>
          <w:rFonts w:ascii="Times New Roman" w:cs="Times New Roman" w:eastAsia="Times New Roman" w:hAnsi="Times New Roman"/>
          <w:sz w:val="20"/>
          <w:szCs w:val="20"/>
          <w:color w:val="000000"/>
        </w:rPr>
        <w:t>ht</w:t>
      </w:r>
      <w:r>
        <w:rPr>
          <w:rFonts w:ascii="Times New Roman" w:cs="Times New Roman" w:eastAsia="Times New Roman" w:hAnsi="Times New Roman"/>
          <w:sz w:val="20"/>
          <w:szCs w:val="20"/>
          <w:color w:val="1E1E1E"/>
        </w:rPr>
        <w:t>tps://www.vistancenetworks.com/corporate-responsibility-and-</w:t>
      </w:r>
      <w:r>
        <w:rPr>
          <w:rFonts w:ascii="Times New Roman" w:cs="Times New Roman" w:eastAsia="Times New Roman" w:hAnsi="Times New Roman"/>
          <w:sz w:val="20"/>
          <w:szCs w:val="20"/>
          <w:u w:val="single" w:color="auto"/>
          <w:color w:val="1E1E1E"/>
        </w:rPr>
        <w:t>sustainability/</w:t>
      </w:r>
      <w:r>
        <w:rPr>
          <w:rFonts w:ascii="Times New Roman" w:cs="Times New Roman" w:eastAsia="Times New Roman" w:hAnsi="Times New Roman"/>
          <w:sz w:val="20"/>
          <w:szCs w:val="20"/>
          <w:color w:val="1E1E1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-177165</wp:posOffset>
            </wp:positionV>
            <wp:extent cx="33083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3308350" cy="6350"/>
                    </a:xfrm>
                    <a:prstGeom prst="rect">
                      <a:avLst/>
                    </a:prstGeom>
                    <a:noFill/>
                  </pic:spPr>
                </pic:pic>
              </a:graphicData>
            </a:graphic>
          </wp:anchor>
        </w:drawing>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11</w:t>
      </w:r>
    </w:p>
    <w:p>
      <w:pPr>
        <w:sectPr>
          <w:pgSz w:w="11880" w:h="15480" w:orient="portrait"/>
          <w:cols w:equalWidth="0" w:num="1">
            <w:col w:w="10800"/>
          </w:cols>
          <w:pgMar w:left="540" w:top="1238" w:right="54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1E1E1E"/>
        </w:rPr>
        <w:t>Human Capital Management</w:t>
      </w:r>
    </w:p>
    <w:p>
      <w:pPr>
        <w:spacing w:after="0" w:line="12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1E1E1E"/>
        </w:rPr>
        <w:t>We believe that human capital management, including attracting, developing and retaining a high-quality workforce, is critical to our long-term success. Our Board of Directors and its Committees provide oversight on a broad range of human capital management topics, including corporate culture, compensation and benefits, organizational development and succession planning, and employee health, safety and well-being, to name a few.</w:t>
      </w:r>
    </w:p>
    <w:p>
      <w:pPr>
        <w:spacing w:after="0" w:line="19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color w:val="1E1E1E"/>
        </w:rPr>
        <w:t>We employed approximately 4,500 people worldwide as of December 31, 2025, with approximately 22% classified as manufacturing employees. These manufacturing employees are primarily located in Mexico. Our U.S. workforce includes approximately 1,700 employees, comprised of mostly non-manufacturing employees. We are party to numerous works’ councils or similar statutory arrangements outside of the U.S. (none in the U.S.) and believe that relations with our employees are generally good.</w:t>
      </w:r>
    </w:p>
    <w:p>
      <w:pPr>
        <w:spacing w:after="0" w:line="1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Protecting the safety, health, and well-being of our associates around the world is one of our top priorities. We strive to achieve an injury-free work environment. We believe that our inclusive culture is a competitive advantage that fuels innovation, enhances our ability to attract and retain top talent and strengthens our reputation. We are also committed to providing competitive rewards and the continued growth and development of our employees through a variety of global training and development opportunities that build and strengthen employees’ leadership and professional skills. Lastly, we aim to provide a positive employee experience and workplace environment that engages all employees.</w:t>
      </w:r>
    </w:p>
    <w:p>
      <w:pPr>
        <w:spacing w:after="0" w:line="200"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20"/>
          <w:szCs w:val="20"/>
          <w:color w:val="1E1E1E"/>
        </w:rPr>
        <w:t>We collaborate and innovate to create the world’s most advanced networks driven by our passionate employees who deliver on this vision every day.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Employee Health, Safety and Well-being</w:t>
      </w:r>
    </w:p>
    <w:p>
      <w:pPr>
        <w:spacing w:after="0" w:line="118"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1E1E1E"/>
        </w:rPr>
        <w:t>Our employees’ health, safety and well-being are a top priority. We are always seeking opportunities to protect the well-being of our employees, customers, suppliers, environment and communities.</w:t>
      </w:r>
    </w:p>
    <w:p>
      <w:pPr>
        <w:spacing w:after="0" w:line="16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A commitment to business practices that are innovative, safe and sustainable is key to our success. To achieve this, we maintain a robust Environment, Health &amp; Safety (EHS) management system, set objectives and targets and measure them accordingly, provide necessary resources, and create a comprehensive well-being and benefits program that supports a culture of safety and health first. Our EHS management system was designed and implemented based on the requirements of the International Standards of ISO45001 and ISO14001.</w:t>
      </w:r>
    </w:p>
    <w:p>
      <w:pPr>
        <w:spacing w:after="0" w:line="19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We seek to inspire a culture of proactive and productive health management so employees make lifestyle decisions that lead to rewarding careers and healthy, balanced lives. To realize this goal, we provide tools, services and programs that help employees achieve and maintain optimal personal health (physical, emotional and financial). The results of our efforts make us stronger and pave a path for innovation, which drives business differentiation, talent engagement and retention.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Culture</w:t>
      </w:r>
    </w:p>
    <w:p>
      <w:pPr>
        <w:spacing w:after="0" w:line="11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1E1E1E"/>
        </w:rPr>
        <w:t>We strive to create an equitable and inclusive environment that draws upon the strength of our diverse workforce to deliver exceptional results for our investors and all key stakeholders. Our global workforce is comprised of individuals of many races, cultures, backgrounds, geographies and experiences. We focus on ensuring inclusion, belonging, equity and well-being in the workplace. We take pride in our culture and support the activities of our global Diversity and Inclusion Business Network (DIBN) that was established in 2020. This broad-based network is open to all employees and provides its members with opportunities to network, learn and lead, grow their careers, and support their communities. The results of our focused efforts make us stronger and pave a path for innovation, which drives business differentiation, talent engagement and retention.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Total Rewards</w:t>
      </w:r>
    </w:p>
    <w:p>
      <w:pPr>
        <w:spacing w:after="0" w:line="11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We compensate employees equitably, relative to experience and performance, regardless of gender, nationality or disability. Globally, we embrace a pay-for-performance compensation philosophy, conducting pay equity assessments to determine the results of our pay practices. Our compensation plans and programs strive to: attract and retain skilled, high-performing individuals; pay base salaries and provide benefits that are competitive in our industry and the local markets in each country where we operate; and provide short- and long-term incentives (when appropriate) that are tied to exceptional employee and Company performance.</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12</w:t>
      </w:r>
    </w:p>
    <w:p>
      <w:pPr>
        <w:sectPr>
          <w:pgSz w:w="11880" w:h="15480" w:orient="portrait"/>
          <w:cols w:equalWidth="0" w:num="1">
            <w:col w:w="10800"/>
          </w:cols>
          <w:pgMar w:left="540" w:top="1235" w:right="54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1E1E1E"/>
        </w:rPr>
        <w:t>Employee Education, Training and Development</w:t>
      </w:r>
    </w:p>
    <w:p>
      <w:pPr>
        <w:spacing w:after="0" w:line="11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We are committed to developing the careers and capabilities of our current and future employees. We manage employees’ performance and goals throughout the year, providing both classroom and virtual training and development opportunities for both our manufacturing and non-manufacturing employees. We believe employees learn best through a combination of work experience, coaching, feedback, training and education.</w:t>
      </w:r>
    </w:p>
    <w:p>
      <w:pPr>
        <w:spacing w:after="0" w:line="19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1E1E1E"/>
        </w:rPr>
        <w:t>We augment in-person communications with technology to align and manage employees’ performance and goals throughout the year, providing continuous development opportunities through coaching and feedback. We also offer classroom training, virtual facilitated training, as well as an online learning platform that offers a wealth of work-related employee development content (e.g., for managerial, technical and personal development). We focus heavily on interacting with our employees how, when and where it matters most.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Employee Engagement</w:t>
      </w:r>
    </w:p>
    <w:p>
      <w:pPr>
        <w:spacing w:after="0" w:line="11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1E1E1E"/>
        </w:rPr>
        <w:t>We pride ourselves on creating a collaborative, engaged and enabled workforce. We define engagement as the strength of the emotional connection and discretionary effort employees put toward their work, their teams and the Company. We believe communication and feedback are integral to building engaged employees and driving a high-performance culture. In support of this, we periodically “take the pulse” of our organization through a global employee engagement survey, one of the ways our global workforce can voice their opinions and provide ongoing feedback. Among other things, the survey seeks to understand how employees experience our values in their day-to-day work in order to measure our cultural health. We also ask questions to determine if employees feel a strong sense of inclusion and belonging, as well as measure overall engagement. With this valuable feedback, we can identify strengths and potential areas for focused improvement. We continue to enhance employee engagement by leveraging technology, enabling managers, emphasizing communication, providing competitive rewards, offering flexible work approaches, encouraging career development opportunities and striving to become a destination for the marketplace's top talent.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Available Information</w:t>
      </w:r>
    </w:p>
    <w:p>
      <w:pPr>
        <w:spacing w:after="0" w:line="12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Our Annual Report on Form 10-K, Quarterly Reports on Form 10-Q, Current Reports on Form 8-K and amendments to reports filed or furnished pursuant to Sections 13(a) and 15(d) of the Securities Exchange Act of 1934, as amended, are available free of charge on the Securities and Exchange Commission's website at www.sec.gov and are also available on our website at www.vistancenetworks.com under Company — Investor Relations as soon as reasonably practicable after we electronically file such material with, or furnish it to, the Securities and Exchange Commission. The information posted to our website is not incorporated elsewhere in this Annual Report on Form 10-K.</w:t>
      </w:r>
    </w:p>
    <w:p>
      <w:pPr>
        <w:sectPr>
          <w:pgSz w:w="11880" w:h="15480" w:orient="portrait"/>
          <w:cols w:equalWidth="0" w:num="1">
            <w:col w:w="10800"/>
          </w:cols>
          <w:pgMar w:left="540" w:top="12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13</w:t>
      </w:r>
    </w:p>
    <w:p>
      <w:pPr>
        <w:sectPr>
          <w:pgSz w:w="11880" w:h="15480" w:orient="portrait"/>
          <w:cols w:equalWidth="0" w:num="1">
            <w:col w:w="10800"/>
          </w:cols>
          <w:pgMar w:left="540" w:top="1240" w:right="54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1E1E1E"/>
        </w:rPr>
        <w:t>ITEM 1A. RISK FACTORS</w:t>
      </w:r>
    </w:p>
    <w:p>
      <w:pPr>
        <w:spacing w:after="0" w:line="12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i w:val="1"/>
          <w:iCs w:val="1"/>
          <w:color w:val="1E1E1E"/>
        </w:rPr>
        <w:t>The following is a cautionary discussion of risks, uncertainties and assumptions that we believe are significant to our business. In addition to the factors discussed elsewhere in this Annual Report on Form 10-K, the following are some of the important factors that, individually or in the aggregate, we believe could make our results differ materially from those described in any forward-looking statements. It is impossible to predict or identify all such factors and, as a result, you should not consider the following factors to be a complete discussion of risks, uncertainties and assumptions related to us or our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Summary of Risk Factors</w:t>
      </w:r>
    </w:p>
    <w:p>
      <w:pPr>
        <w:spacing w:after="0" w:line="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1E1E1E"/>
        </w:rPr>
        <w:t>The following is a summary of some of the risks, uncertainties and assumptions that could materially adversely affect our business, financial position, results of operations and cash flows. You should read this summary together with the more detailed description of each risk factor contained below.</w:t>
      </w:r>
    </w:p>
    <w:p>
      <w:pPr>
        <w:spacing w:after="0" w:line="185"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1E1E1E"/>
        </w:rPr>
        <w:t>In connection with the sale of the CCS segment that was completed subsequent to fiscal year end on January 9, 2026, we repaid and issued notices of full redemption of our then-existing indebtedness and redeemed all of the outstanding shares of the Series A Convertible Preferred Stock (Convertible Preferred Stock). Therefore, the indebtedness and Convertible Preferred Stock that were outstanding as of December 31, 2025 are no longer considered risks to the Company and are excluded from the risk factor summary and discussions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Competitive Risks</w:t>
      </w:r>
    </w:p>
    <w:p>
      <w:pPr>
        <w:spacing w:after="0" w:line="33" w:lineRule="exact"/>
        <w:rPr>
          <w:sz w:val="20"/>
          <w:szCs w:val="20"/>
          <w:color w:val="auto"/>
        </w:rPr>
      </w:pPr>
    </w:p>
    <w:p>
      <w:pPr>
        <w:ind w:left="980" w:right="220" w:hanging="490"/>
        <w:spacing w:after="0" w:line="247" w:lineRule="auto"/>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Our business is dependent upon third-party capital spending for data, communication and entertainment equipment, and reductions in such capital spending could adversely affect our business.</w:t>
      </w: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A substantial portion of our business is derived from a limited number of key customers and channel partners.</w:t>
      </w:r>
    </w:p>
    <w:p>
      <w:pPr>
        <w:spacing w:after="0" w:line="13"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We face competitive pressures with respect to all our major product groups.</w:t>
      </w:r>
    </w:p>
    <w:p>
      <w:pPr>
        <w:spacing w:after="0" w:line="13" w:lineRule="exact"/>
        <w:rPr>
          <w:rFonts w:ascii="Arial" w:cs="Arial" w:eastAsia="Arial" w:hAnsi="Arial"/>
          <w:sz w:val="20"/>
          <w:szCs w:val="20"/>
          <w:color w:val="1E1E1E"/>
        </w:rPr>
      </w:pPr>
    </w:p>
    <w:p>
      <w:pPr>
        <w:ind w:left="980" w:hanging="490"/>
        <w:spacing w:after="0" w:line="247" w:lineRule="auto"/>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sell our products is highly dependent on the quality of our support services after the sale, and our inability to provide adequate support after the sale would have a material adverse effect on business.</w:t>
      </w:r>
    </w:p>
    <w:p>
      <w:pPr>
        <w:ind w:left="980" w:right="220" w:hanging="490"/>
        <w:spacing w:after="0" w:line="278" w:lineRule="auto"/>
        <w:tabs>
          <w:tab w:leader="none" w:pos="98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to the regulatory environment in which our customers operate and changes in or uncertainty about government funded programs may negatively impact our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Financial Risks</w:t>
      </w:r>
    </w:p>
    <w:p>
      <w:pPr>
        <w:spacing w:after="0" w:line="33" w:lineRule="exact"/>
        <w:rPr>
          <w:sz w:val="20"/>
          <w:szCs w:val="20"/>
          <w:color w:val="auto"/>
        </w:rPr>
      </w:pPr>
    </w:p>
    <w:p>
      <w:pPr>
        <w:ind w:left="980" w:hanging="490"/>
        <w:spacing w:after="0"/>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We may be required to obtain financing in the future.</w:t>
      </w:r>
    </w:p>
    <w:p>
      <w:pPr>
        <w:spacing w:after="0" w:line="13" w:lineRule="exact"/>
        <w:rPr>
          <w:rFonts w:ascii="Arial" w:cs="Arial" w:eastAsia="Arial" w:hAnsi="Arial"/>
          <w:sz w:val="20"/>
          <w:szCs w:val="20"/>
          <w:color w:val="1E1E1E"/>
        </w:rPr>
      </w:pPr>
    </w:p>
    <w:p>
      <w:pPr>
        <w:ind w:left="980" w:right="20" w:hanging="490"/>
        <w:spacing w:after="0" w:line="278" w:lineRule="auto"/>
        <w:tabs>
          <w:tab w:leader="none" w:pos="98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We may need to recognize additional impairment charges related to goodwill, identified intangible assets, fixed assets and right of use assets.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Supply Chain Risks</w:t>
      </w:r>
    </w:p>
    <w:p>
      <w:pPr>
        <w:spacing w:after="0" w:line="33" w:lineRule="exact"/>
        <w:rPr>
          <w:sz w:val="20"/>
          <w:szCs w:val="20"/>
          <w:color w:val="auto"/>
        </w:rPr>
      </w:pPr>
    </w:p>
    <w:p>
      <w:pPr>
        <w:jc w:val="both"/>
        <w:ind w:left="980" w:right="20" w:hanging="490"/>
        <w:spacing w:after="0" w:line="244"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We are dependent on certain raw materials and components linked to the commodity markets and utilize a limited number of key suppliers for logistics support of certain of these raw materials and components, subjecting us to cost volatility and supply shortages or delays that could limit our ability to manufacture products.</w:t>
      </w:r>
    </w:p>
    <w:p>
      <w:pPr>
        <w:spacing w:after="0" w:line="2" w:lineRule="exact"/>
        <w:rPr>
          <w:rFonts w:ascii="Arial" w:cs="Arial" w:eastAsia="Arial" w:hAnsi="Arial"/>
          <w:sz w:val="20"/>
          <w:szCs w:val="20"/>
          <w:color w:val="1E1E1E"/>
        </w:rPr>
      </w:pPr>
    </w:p>
    <w:p>
      <w:pPr>
        <w:ind w:left="980" w:right="380" w:hanging="490"/>
        <w:spacing w:after="0" w:line="247"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If our integrated global manufacturing operations, including our contract manufacturers, suffer capacity constraints or production or shipping delays, we may have difficulty meeting customer demand</w:t>
      </w:r>
      <w:r>
        <w:rPr>
          <w:rFonts w:ascii="Times New Roman" w:cs="Times New Roman" w:eastAsia="Times New Roman" w:hAnsi="Times New Roman"/>
          <w:sz w:val="20"/>
          <w:szCs w:val="20"/>
          <w:color w:val="1E1E1E"/>
          <w:strike w:val="1"/>
        </w:rPr>
        <w:t>s</w:t>
      </w:r>
      <w:r>
        <w:rPr>
          <w:rFonts w:ascii="Times New Roman" w:cs="Times New Roman" w:eastAsia="Times New Roman" w:hAnsi="Times New Roman"/>
          <w:sz w:val="20"/>
          <w:szCs w:val="20"/>
          <w:color w:val="1E1E1E"/>
        </w:rPr>
        <w:t>.</w:t>
      </w:r>
    </w:p>
    <w:p>
      <w:pPr>
        <w:ind w:left="980" w:hanging="490"/>
        <w:spacing w:after="0" w:line="231" w:lineRule="exact"/>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We may experience supply chain disruptions due to climate</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related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Strategic Risks</w:t>
      </w:r>
    </w:p>
    <w:p>
      <w:pPr>
        <w:spacing w:after="0" w:line="33" w:lineRule="exact"/>
        <w:rPr>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Times New Roman" w:cs="Times New Roman" w:eastAsia="Times New Roman" w:hAnsi="Times New Roman"/>
          <w:sz w:val="20"/>
          <w:szCs w:val="20"/>
          <w:color w:val="1E1E1E"/>
        </w:rPr>
        <w:t>The successful execution of our transformation plan is key to the long-term success of our business.</w:t>
      </w:r>
    </w:p>
    <w:p>
      <w:pPr>
        <w:spacing w:after="0" w:line="13" w:lineRule="exact"/>
        <w:rPr>
          <w:rFonts w:ascii="Arial" w:cs="Arial" w:eastAsia="Arial" w:hAnsi="Arial"/>
          <w:sz w:val="20"/>
          <w:szCs w:val="20"/>
          <w:color w:val="1E1E1E"/>
        </w:rPr>
      </w:pPr>
    </w:p>
    <w:p>
      <w:pPr>
        <w:ind w:left="980" w:right="160" w:hanging="490"/>
        <w:spacing w:after="0" w:line="244" w:lineRule="auto"/>
        <w:tabs>
          <w:tab w:leader="none" w:pos="980" w:val="left"/>
        </w:tabs>
        <w:numPr>
          <w:ilvl w:val="0"/>
          <w:numId w:val="23"/>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may be encountered in the realignment of manufacturing capacity and capabilities among our global manufacturing operations, including our contract manufacturers, that could adversely affect our ability to meet customer demand for our products.</w:t>
      </w:r>
    </w:p>
    <w:p>
      <w:pPr>
        <w:spacing w:after="0" w:line="2" w:lineRule="exact"/>
        <w:rPr>
          <w:rFonts w:ascii="Arial" w:cs="Arial" w:eastAsia="Arial" w:hAnsi="Arial"/>
          <w:sz w:val="20"/>
          <w:szCs w:val="20"/>
          <w:color w:val="1E1E1E"/>
        </w:rPr>
      </w:pPr>
    </w:p>
    <w:p>
      <w:pPr>
        <w:ind w:left="980" w:right="60" w:hanging="490"/>
        <w:spacing w:after="0" w:line="247" w:lineRule="auto"/>
        <w:tabs>
          <w:tab w:leader="none" w:pos="980" w:val="left"/>
        </w:tabs>
        <w:numPr>
          <w:ilvl w:val="0"/>
          <w:numId w:val="23"/>
        </w:numPr>
        <w:rPr>
          <w:rFonts w:ascii="Arial" w:cs="Arial" w:eastAsia="Arial" w:hAnsi="Arial"/>
          <w:sz w:val="20"/>
          <w:szCs w:val="20"/>
          <w:color w:val="1E1E1E"/>
        </w:rPr>
      </w:pPr>
      <w:r>
        <w:rPr>
          <w:rFonts w:ascii="Times New Roman" w:cs="Times New Roman" w:eastAsia="Times New Roman" w:hAnsi="Times New Roman"/>
          <w:sz w:val="20"/>
          <w:szCs w:val="20"/>
          <w:color w:val="1E1E1E"/>
        </w:rPr>
        <w:t>The separation, discontinuance or divestiture of a business or product line is subject to various risks and uncertainties that could disrupt or adversely affect our business.</w:t>
      </w:r>
    </w:p>
    <w:p>
      <w:pPr>
        <w:ind w:left="980" w:right="260" w:hanging="490"/>
        <w:spacing w:after="0" w:line="247" w:lineRule="auto"/>
        <w:tabs>
          <w:tab w:leader="none" w:pos="980" w:val="left"/>
        </w:tabs>
        <w:numPr>
          <w:ilvl w:val="0"/>
          <w:numId w:val="23"/>
        </w:numPr>
        <w:rPr>
          <w:rFonts w:ascii="Arial" w:cs="Arial" w:eastAsia="Arial" w:hAnsi="Arial"/>
          <w:sz w:val="20"/>
          <w:szCs w:val="20"/>
          <w:color w:val="1E1E1E"/>
        </w:rPr>
      </w:pPr>
      <w:r>
        <w:rPr>
          <w:rFonts w:ascii="Times New Roman" w:cs="Times New Roman" w:eastAsia="Times New Roman" w:hAnsi="Times New Roman"/>
          <w:sz w:val="20"/>
          <w:szCs w:val="20"/>
          <w:color w:val="1E1E1E"/>
        </w:rPr>
        <w:t>Our business strategy could rely, in part, on acquisitions to create growth. We may not fully realize anticipated benefits from past or future acquisitions or investments in other companies.</w:t>
      </w:r>
    </w:p>
    <w:p>
      <w:pPr>
        <w:ind w:left="980" w:hanging="490"/>
        <w:spacing w:after="0"/>
        <w:tabs>
          <w:tab w:leader="none" w:pos="980" w:val="left"/>
        </w:tabs>
        <w:numPr>
          <w:ilvl w:val="0"/>
          <w:numId w:val="23"/>
        </w:numPr>
        <w:rPr>
          <w:rFonts w:ascii="Arial" w:cs="Arial" w:eastAsia="Arial" w:hAnsi="Arial"/>
          <w:sz w:val="20"/>
          <w:szCs w:val="20"/>
          <w:color w:val="1E1E1E"/>
        </w:rPr>
      </w:pPr>
      <w:r>
        <w:rPr>
          <w:rFonts w:ascii="Times New Roman" w:cs="Times New Roman" w:eastAsia="Times New Roman" w:hAnsi="Times New Roman"/>
          <w:sz w:val="20"/>
          <w:szCs w:val="20"/>
          <w:color w:val="1E1E1E"/>
        </w:rPr>
        <w:t>We may need to undertake additional restructuring actions in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Business and Operational Risks</w:t>
      </w:r>
    </w:p>
    <w:p>
      <w:pPr>
        <w:spacing w:after="0" w:line="33" w:lineRule="exact"/>
        <w:rPr>
          <w:sz w:val="20"/>
          <w:szCs w:val="20"/>
          <w:color w:val="auto"/>
        </w:rPr>
      </w:pPr>
    </w:p>
    <w:p>
      <w:pPr>
        <w:ind w:left="980" w:right="140" w:hanging="490"/>
        <w:spacing w:after="0" w:line="247" w:lineRule="auto"/>
        <w:tabs>
          <w:tab w:leader="none" w:pos="980" w:val="left"/>
        </w:tabs>
        <w:numPr>
          <w:ilvl w:val="0"/>
          <w:numId w:val="24"/>
        </w:numPr>
        <w:rPr>
          <w:rFonts w:ascii="Arial" w:cs="Arial" w:eastAsia="Arial" w:hAnsi="Arial"/>
          <w:sz w:val="20"/>
          <w:szCs w:val="20"/>
          <w:color w:val="1E1E1E"/>
        </w:rPr>
      </w:pPr>
      <w:r>
        <w:rPr>
          <w:rFonts w:ascii="Times New Roman" w:cs="Times New Roman" w:eastAsia="Times New Roman" w:hAnsi="Times New Roman"/>
          <w:sz w:val="20"/>
          <w:szCs w:val="20"/>
          <w:color w:val="1E1E1E"/>
        </w:rPr>
        <w:t>Our future success depends on our ability to anticipate and adapt to changes in technology and customer preferences and develop, implement and market innovative solutions.</w:t>
      </w:r>
    </w:p>
    <w:p>
      <w:pPr>
        <w:ind w:left="980" w:hanging="490"/>
        <w:spacing w:after="0"/>
        <w:tabs>
          <w:tab w:leader="none" w:pos="980" w:val="left"/>
        </w:tabs>
        <w:numPr>
          <w:ilvl w:val="0"/>
          <w:numId w:val="24"/>
        </w:numPr>
        <w:rPr>
          <w:rFonts w:ascii="Arial" w:cs="Arial" w:eastAsia="Arial" w:hAnsi="Arial"/>
          <w:sz w:val="20"/>
          <w:szCs w:val="20"/>
          <w:color w:val="1E1E1E"/>
        </w:rPr>
      </w:pPr>
      <w:r>
        <w:rPr>
          <w:rFonts w:ascii="Times New Roman" w:cs="Times New Roman" w:eastAsia="Times New Roman" w:hAnsi="Times New Roman"/>
          <w:sz w:val="20"/>
          <w:szCs w:val="20"/>
          <w:color w:val="1E1E1E"/>
        </w:rPr>
        <w:t>If we do not stay current with product life cycle developments, our business may suffer.</w:t>
      </w:r>
    </w:p>
    <w:p>
      <w:pPr>
        <w:sectPr>
          <w:pgSz w:w="11880" w:h="15480" w:orient="portrait"/>
          <w:cols w:equalWidth="0" w:num="1">
            <w:col w:w="10780"/>
          </w:cols>
          <w:pgMar w:left="540" w:top="123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14</w:t>
      </w:r>
    </w:p>
    <w:p>
      <w:pPr>
        <w:sectPr>
          <w:pgSz w:w="11880" w:h="15480" w:orient="portrait"/>
          <w:cols w:equalWidth="0" w:num="1">
            <w:col w:w="10780"/>
          </w:cols>
          <w:pgMar w:left="540" w:top="1235" w:right="560" w:bottom="0" w:gutter="0" w:footer="0" w:header="0"/>
          <w:type w:val="continuous"/>
        </w:sectPr>
      </w:pPr>
    </w:p>
    <w:bookmarkStart w:id="24" w:name="page25"/>
    <w:bookmarkEnd w:id="24"/>
    <w:p>
      <w:pPr>
        <w:ind w:left="980" w:right="440" w:hanging="490"/>
        <w:spacing w:after="0" w:line="247" w:lineRule="auto"/>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If our products do not effectively interoperate with cellular networks and mobile devices, future sales of our products could be negatively affected.</w:t>
      </w:r>
    </w:p>
    <w:p>
      <w:pPr>
        <w:ind w:left="980" w:right="220" w:hanging="490"/>
        <w:spacing w:after="0" w:line="247" w:lineRule="auto"/>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If our product or service offerings, including material purchased from our suppliers, have quality or performance issues, our business may suffer.</w:t>
      </w:r>
    </w:p>
    <w:p>
      <w:pPr>
        <w:ind w:left="980" w:right="500" w:hanging="490"/>
        <w:spacing w:after="0" w:line="247" w:lineRule="auto"/>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We depend on cloud computing infrastructure operated by third parties, and any disruption in these operations could adversely affect our business.</w:t>
      </w: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Our business depends on effective management information systems.</w:t>
      </w:r>
    </w:p>
    <w:p>
      <w:pPr>
        <w:spacing w:after="0" w:line="13" w:lineRule="exact"/>
        <w:rPr>
          <w:rFonts w:ascii="Arial" w:cs="Arial" w:eastAsia="Arial" w:hAnsi="Arial"/>
          <w:sz w:val="20"/>
          <w:szCs w:val="20"/>
          <w:color w:val="1E1E1E"/>
        </w:rPr>
      </w:pPr>
    </w:p>
    <w:p>
      <w:pPr>
        <w:ind w:left="980" w:right="240" w:hanging="490"/>
        <w:spacing w:after="0" w:line="247" w:lineRule="auto"/>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Cybersecurity incidents, including data security breaches, ransomware or computer viruses, could harm our business by exposing us to various liabilities, disrupting our delivery of products and services and damaging our reputation.</w:t>
      </w:r>
    </w:p>
    <w:p>
      <w:pPr>
        <w:ind w:left="980" w:hanging="490"/>
        <w:spacing w:after="0"/>
        <w:tabs>
          <w:tab w:leader="none" w:pos="980" w:val="left"/>
        </w:tabs>
        <w:numPr>
          <w:ilvl w:val="0"/>
          <w:numId w:val="25"/>
        </w:numPr>
        <w:rPr>
          <w:rFonts w:ascii="Arial" w:cs="Arial" w:eastAsia="Arial" w:hAnsi="Arial"/>
          <w:sz w:val="20"/>
          <w:szCs w:val="20"/>
          <w:color w:val="1E1E1E"/>
        </w:rPr>
      </w:pPr>
      <w:r>
        <w:rPr>
          <w:rFonts w:ascii="Times New Roman" w:cs="Times New Roman" w:eastAsia="Times New Roman" w:hAnsi="Times New Roman"/>
          <w:sz w:val="20"/>
          <w:szCs w:val="20"/>
          <w:color w:val="1E1E1E"/>
        </w:rPr>
        <w:t>Climate change may have an impact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Labor-Related Risks</w:t>
      </w:r>
    </w:p>
    <w:p>
      <w:pPr>
        <w:spacing w:after="0" w:line="133" w:lineRule="exact"/>
        <w:rPr>
          <w:sz w:val="20"/>
          <w:szCs w:val="20"/>
          <w:color w:val="auto"/>
        </w:rPr>
      </w:pPr>
    </w:p>
    <w:p>
      <w:pPr>
        <w:ind w:left="980" w:right="540" w:hanging="490"/>
        <w:spacing w:after="0" w:line="247" w:lineRule="auto"/>
        <w:tabs>
          <w:tab w:leader="none" w:pos="980" w:val="left"/>
        </w:tabs>
        <w:numPr>
          <w:ilvl w:val="0"/>
          <w:numId w:val="26"/>
        </w:numPr>
        <w:rPr>
          <w:rFonts w:ascii="Arial" w:cs="Arial" w:eastAsia="Arial" w:hAnsi="Arial"/>
          <w:sz w:val="20"/>
          <w:szCs w:val="20"/>
          <w:color w:val="1E1E1E"/>
        </w:rPr>
      </w:pPr>
      <w:r>
        <w:rPr>
          <w:rFonts w:ascii="Times New Roman" w:cs="Times New Roman" w:eastAsia="Times New Roman" w:hAnsi="Times New Roman"/>
          <w:sz w:val="20"/>
          <w:szCs w:val="20"/>
          <w:color w:val="1E1E1E"/>
        </w:rPr>
        <w:t>Failure to attract, develop and maintain a highly skilled and diverse workforce or effectively manage changes in our workforce can have an adverse effect on our business.</w:t>
      </w:r>
    </w:p>
    <w:p>
      <w:pPr>
        <w:ind w:left="980" w:right="160" w:hanging="490"/>
        <w:spacing w:after="0" w:line="278" w:lineRule="auto"/>
        <w:tabs>
          <w:tab w:leader="none" w:pos="980" w:val="left"/>
        </w:tabs>
        <w:numPr>
          <w:ilvl w:val="0"/>
          <w:numId w:val="26"/>
        </w:numPr>
        <w:rPr>
          <w:rFonts w:ascii="Arial" w:cs="Arial" w:eastAsia="Arial" w:hAnsi="Arial"/>
          <w:sz w:val="20"/>
          <w:szCs w:val="20"/>
          <w:color w:val="1E1E1E"/>
        </w:rPr>
      </w:pPr>
      <w:r>
        <w:rPr>
          <w:rFonts w:ascii="Times New Roman" w:cs="Times New Roman" w:eastAsia="Times New Roman" w:hAnsi="Times New Roman"/>
          <w:sz w:val="20"/>
          <w:szCs w:val="20"/>
          <w:color w:val="1E1E1E"/>
        </w:rPr>
        <w:t>Disruptions in labor, including strikes or work stoppages, could have a material adverse effect on our business, results of operations and financial condition.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International Risks</w:t>
      </w:r>
    </w:p>
    <w:p>
      <w:pPr>
        <w:spacing w:after="0" w:line="33" w:lineRule="exact"/>
        <w:rPr>
          <w:sz w:val="20"/>
          <w:szCs w:val="20"/>
          <w:color w:val="auto"/>
        </w:rPr>
      </w:pPr>
    </w:p>
    <w:p>
      <w:pPr>
        <w:ind w:left="980" w:hanging="490"/>
        <w:spacing w:after="0"/>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Our international operations expose us to economic, political, foreign exchange rate and other risks.</w:t>
      </w:r>
    </w:p>
    <w:p>
      <w:pPr>
        <w:spacing w:after="0" w:line="13" w:lineRule="exact"/>
        <w:rPr>
          <w:rFonts w:ascii="Arial" w:cs="Arial" w:eastAsia="Arial" w:hAnsi="Arial"/>
          <w:sz w:val="20"/>
          <w:szCs w:val="20"/>
          <w:color w:val="1E1E1E"/>
        </w:rPr>
      </w:pPr>
    </w:p>
    <w:p>
      <w:pPr>
        <w:ind w:left="980" w:right="200" w:hanging="490"/>
        <w:spacing w:after="0" w:line="247" w:lineRule="auto"/>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Additional or new tariffs or a global trade war could increase the cost of our products, which could adversely impact the competitiveness of our products.</w:t>
      </w:r>
    </w:p>
    <w:p>
      <w:pPr>
        <w:ind w:left="980" w:right="140" w:hanging="490"/>
        <w:spacing w:after="0" w:line="247" w:lineRule="auto"/>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Our international operations expose us to increased challenges in complying with anti-corruption laws and regulations of the U.S. government and various other international jurisdictions.</w:t>
      </w:r>
    </w:p>
    <w:p>
      <w:pPr>
        <w:ind w:left="980" w:right="380" w:hanging="490"/>
        <w:spacing w:after="0" w:line="278" w:lineRule="auto"/>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We are subject to governmental export and import controls and sanctions programs that could subject us to liability or impair our ability to compete in international markets.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Litigation and Regulatory Risks</w:t>
      </w:r>
    </w:p>
    <w:p>
      <w:pPr>
        <w:spacing w:after="0" w:line="33" w:lineRule="exact"/>
        <w:rPr>
          <w:sz w:val="20"/>
          <w:szCs w:val="20"/>
          <w:color w:val="auto"/>
        </w:rPr>
      </w:pPr>
    </w:p>
    <w:p>
      <w:pPr>
        <w:ind w:left="980" w:right="80" w:hanging="490"/>
        <w:spacing w:after="0" w:line="247" w:lineRule="auto"/>
        <w:tabs>
          <w:tab w:leader="none" w:pos="980" w:val="left"/>
        </w:tabs>
        <w:numPr>
          <w:ilvl w:val="0"/>
          <w:numId w:val="28"/>
        </w:numPr>
        <w:rPr>
          <w:rFonts w:ascii="Arial" w:cs="Arial" w:eastAsia="Arial" w:hAnsi="Arial"/>
          <w:sz w:val="20"/>
          <w:szCs w:val="20"/>
          <w:color w:val="1E1E1E"/>
        </w:rPr>
      </w:pPr>
      <w:r>
        <w:rPr>
          <w:rFonts w:ascii="Times New Roman" w:cs="Times New Roman" w:eastAsia="Times New Roman" w:hAnsi="Times New Roman"/>
          <w:sz w:val="20"/>
          <w:szCs w:val="20"/>
          <w:color w:val="1E1E1E"/>
        </w:rPr>
        <w:t>We may not be successful in protecting our intellectual property and in defending against claims that we are infringing on the intellectual property of others, and any such actions may be costly.</w:t>
      </w:r>
    </w:p>
    <w:p>
      <w:pPr>
        <w:ind w:left="980" w:right="220" w:hanging="490"/>
        <w:spacing w:after="0" w:line="244" w:lineRule="auto"/>
        <w:tabs>
          <w:tab w:leader="none" w:pos="980" w:val="left"/>
        </w:tabs>
        <w:numPr>
          <w:ilvl w:val="0"/>
          <w:numId w:val="28"/>
        </w:numPr>
        <w:rPr>
          <w:rFonts w:ascii="Arial" w:cs="Arial" w:eastAsia="Arial" w:hAnsi="Arial"/>
          <w:sz w:val="20"/>
          <w:szCs w:val="20"/>
          <w:color w:val="1E1E1E"/>
        </w:rPr>
      </w:pPr>
      <w:r>
        <w:rPr>
          <w:rFonts w:ascii="Times New Roman" w:cs="Times New Roman" w:eastAsia="Times New Roman" w:hAnsi="Times New Roman"/>
          <w:sz w:val="20"/>
          <w:szCs w:val="20"/>
          <w:color w:val="1E1E1E"/>
        </w:rPr>
        <w:t>Because of the nature of information that may pass through or be stored on certain of our solutions or networks, we, our vendors and our end customers are subject to complex and evolving U.S. and foreign laws and regulations regarding information privacy, data protection, cybersecurity, and other related matters.</w:t>
      </w:r>
    </w:p>
    <w:p>
      <w:pPr>
        <w:spacing w:after="0" w:line="2" w:lineRule="exact"/>
        <w:rPr>
          <w:rFonts w:ascii="Arial" w:cs="Arial" w:eastAsia="Arial" w:hAnsi="Arial"/>
          <w:sz w:val="20"/>
          <w:szCs w:val="20"/>
          <w:color w:val="1E1E1E"/>
        </w:rPr>
      </w:pPr>
    </w:p>
    <w:p>
      <w:pPr>
        <w:jc w:val="both"/>
        <w:ind w:left="980" w:right="380" w:hanging="490"/>
        <w:spacing w:after="0" w:line="259" w:lineRule="auto"/>
        <w:tabs>
          <w:tab w:leader="none" w:pos="980" w:val="left"/>
        </w:tabs>
        <w:numPr>
          <w:ilvl w:val="0"/>
          <w:numId w:val="28"/>
        </w:numPr>
        <w:rPr>
          <w:rFonts w:ascii="Arial" w:cs="Arial" w:eastAsia="Arial" w:hAnsi="Arial"/>
          <w:sz w:val="20"/>
          <w:szCs w:val="20"/>
          <w:color w:val="1E1E1E"/>
        </w:rPr>
      </w:pPr>
      <w:r>
        <w:rPr>
          <w:rFonts w:ascii="Times New Roman" w:cs="Times New Roman" w:eastAsia="Times New Roman" w:hAnsi="Times New Roman"/>
          <w:sz w:val="20"/>
          <w:szCs w:val="20"/>
          <w:color w:val="1E1E1E"/>
        </w:rPr>
        <w:t>Compliance with current and future social and environmental laws, regulations, policies and provisions, customer and investor pressures, other efforts to mitigate climate change and potential environmental liabilities may have a material adverse impact on our business, financial condition and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General Risks</w:t>
      </w:r>
    </w:p>
    <w:p>
      <w:pPr>
        <w:spacing w:after="0" w:line="33" w:lineRule="exact"/>
        <w:rPr>
          <w:sz w:val="20"/>
          <w:szCs w:val="20"/>
          <w:color w:val="auto"/>
        </w:rPr>
      </w:pPr>
    </w:p>
    <w:p>
      <w:pPr>
        <w:ind w:left="980" w:hanging="490"/>
        <w:spacing w:after="0" w:line="247" w:lineRule="auto"/>
        <w:tabs>
          <w:tab w:leader="none" w:pos="980" w:val="left"/>
        </w:tabs>
        <w:numPr>
          <w:ilvl w:val="0"/>
          <w:numId w:val="29"/>
        </w:numPr>
        <w:rPr>
          <w:rFonts w:ascii="Arial" w:cs="Arial" w:eastAsia="Arial" w:hAnsi="Arial"/>
          <w:sz w:val="20"/>
          <w:szCs w:val="20"/>
          <w:color w:val="1E1E1E"/>
        </w:rPr>
      </w:pPr>
      <w:r>
        <w:rPr>
          <w:rFonts w:ascii="Times New Roman" w:cs="Times New Roman" w:eastAsia="Times New Roman" w:hAnsi="Times New Roman"/>
          <w:sz w:val="20"/>
          <w:szCs w:val="20"/>
          <w:color w:val="1E1E1E"/>
        </w:rPr>
        <w:t>Any future public health crisis could materially adversely affect our business, financial condition, results of operations and cash flows.</w:t>
      </w:r>
    </w:p>
    <w:p>
      <w:pPr>
        <w:ind w:left="980" w:right="260" w:hanging="490"/>
        <w:spacing w:after="0" w:line="278" w:lineRule="auto"/>
        <w:tabs>
          <w:tab w:leader="none" w:pos="980" w:val="left"/>
        </w:tabs>
        <w:numPr>
          <w:ilvl w:val="0"/>
          <w:numId w:val="29"/>
        </w:numPr>
        <w:rPr>
          <w:rFonts w:ascii="Arial" w:cs="Arial" w:eastAsia="Arial" w:hAnsi="Arial"/>
          <w:sz w:val="20"/>
          <w:szCs w:val="20"/>
          <w:color w:val="1E1E1E"/>
        </w:rPr>
      </w:pPr>
      <w:r>
        <w:rPr>
          <w:rFonts w:ascii="Times New Roman" w:cs="Times New Roman" w:eastAsia="Times New Roman" w:hAnsi="Times New Roman"/>
          <w:sz w:val="20"/>
          <w:szCs w:val="20"/>
          <w:color w:val="1E1E1E"/>
        </w:rPr>
        <w:t>We do not intend to pay regular dividends on our common stock and, consequently, the ability of investors to achieve a return on their investment in the ordinary course will depend on appreciation in the price of our common stock.</w:t>
      </w:r>
    </w:p>
    <w:p>
      <w:pPr>
        <w:sectPr>
          <w:pgSz w:w="11880" w:h="15480" w:orient="portrait"/>
          <w:cols w:equalWidth="0" w:num="1">
            <w:col w:w="10800"/>
          </w:cols>
          <w:pgMar w:left="540" w:top="12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15</w:t>
      </w:r>
    </w:p>
    <w:p>
      <w:pPr>
        <w:sectPr>
          <w:pgSz w:w="11880" w:h="15480" w:orient="portrait"/>
          <w:cols w:equalWidth="0" w:num="1">
            <w:col w:w="10800"/>
          </w:cols>
          <w:pgMar w:left="540" w:top="1253" w:right="54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1E1E1E"/>
        </w:rPr>
        <w:t>Competitive Risks</w:t>
      </w:r>
    </w:p>
    <w:p>
      <w:pPr>
        <w:spacing w:after="0" w:line="1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business is dependent upon third-party capital spending for data, communication and entertainment equipment, and reductions in such capital spending could adversely affect our business.</w:t>
      </w:r>
    </w:p>
    <w:p>
      <w:pPr>
        <w:spacing w:after="0" w:line="4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1E1E1E"/>
        </w:rPr>
        <w:t>Our performance is dependent on third parties’ capital spending for constructing, rebuilding, maintaining or upgrading data, communication and entertainment networks, which can be volatile and difficult to forecast. Capital spending in the communications industry is cyclical and can be curtailed or deferred on short notice. We experienced a decrease in customer capital spending in 2024, which negatively impacted our results of operations, and while we experienced an increase in customer demand in 2025, we may continue to experience significant fluctuations in sales and operating income due to the volatility in our industry. A variety of factors affect the timing and amount of capital spending in the communications industry, including:</w:t>
      </w:r>
    </w:p>
    <w:p>
      <w:pPr>
        <w:spacing w:after="0" w:line="94" w:lineRule="exact"/>
        <w:rPr>
          <w:sz w:val="20"/>
          <w:szCs w:val="20"/>
          <w:color w:val="auto"/>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general economic and market conditions, including increased costs due to rising inflation or interest rates;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customer-specific financial conditions or budget allocation decisions;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competitive pressures, including pricing pressures;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competing technologies;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timing and adoption of the global rollout of new technologies;</w:t>
      </w:r>
    </w:p>
    <w:p>
      <w:pPr>
        <w:spacing w:after="0" w:line="133" w:lineRule="exact"/>
        <w:rPr>
          <w:rFonts w:ascii="Arial" w:cs="Arial" w:eastAsia="Arial" w:hAnsi="Arial"/>
          <w:sz w:val="20"/>
          <w:szCs w:val="20"/>
          <w:color w:val="1E1E1E"/>
        </w:rPr>
      </w:pPr>
    </w:p>
    <w:p>
      <w:pPr>
        <w:ind w:left="980" w:right="420" w:hanging="490"/>
        <w:spacing w:after="0" w:line="278" w:lineRule="auto"/>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customer acceptance of new technologies and services offered, including solutions that have little or no impact on the environment;</w:t>
      </w:r>
    </w:p>
    <w:p>
      <w:pPr>
        <w:spacing w:after="0" w:line="60"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foreign currency fluctuations;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seasonality of outdoor deployments;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rollout of government funding for certain initiatives;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customer preferences or requirements;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availability and cost of capital;</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investor pressure and regulation, including compliance with social and environmental laws;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demand for network services;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consumer demand for video content and pay TV services;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variability of shipments under large contracts;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industry consolidation; and</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30"/>
        </w:numPr>
        <w:rPr>
          <w:rFonts w:ascii="Arial" w:cs="Arial" w:eastAsia="Arial" w:hAnsi="Arial"/>
          <w:sz w:val="20"/>
          <w:szCs w:val="20"/>
          <w:color w:val="1E1E1E"/>
        </w:rPr>
      </w:pPr>
      <w:r>
        <w:rPr>
          <w:rFonts w:ascii="Times New Roman" w:cs="Times New Roman" w:eastAsia="Times New Roman" w:hAnsi="Times New Roman"/>
          <w:sz w:val="20"/>
          <w:szCs w:val="20"/>
          <w:color w:val="1E1E1E"/>
        </w:rPr>
        <w:t>real or perceived trends or uncertainties in these factors.</w:t>
      </w:r>
    </w:p>
    <w:p>
      <w:pPr>
        <w:spacing w:after="0" w:line="239"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20"/>
          <w:szCs w:val="20"/>
          <w:color w:val="1E1E1E"/>
        </w:rPr>
        <w:t>As a result of these factors, we may not be able to maintain or increase our sales in the future, and our business, financial condition, results of operations and cash flows could be materially and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 substantial portion of our business is derived from a limited number of key customers and channel partners.</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Our customer base includes direct customers, original equipment manufacturers (OEMs) and channel partners, which include distributors, system integrators, value-added resellers, MSPs, service providers and sales representatives. For the year ended December 31, 2025, we derived approximately 35% of our consolidated net sales from our top customer. The concentration of our net sales with these key customers subjects us to a variety of risks, including:</w:t>
      </w:r>
    </w:p>
    <w:p>
      <w:pPr>
        <w:spacing w:after="0" w:line="85" w:lineRule="exact"/>
        <w:rPr>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1E1E1E"/>
        </w:rPr>
      </w:pPr>
      <w:r>
        <w:rPr>
          <w:rFonts w:ascii="Times New Roman" w:cs="Times New Roman" w:eastAsia="Times New Roman" w:hAnsi="Times New Roman"/>
          <w:sz w:val="20"/>
          <w:szCs w:val="20"/>
          <w:color w:val="1E1E1E"/>
        </w:rPr>
        <w:t>lower sales volumes that could result from the loss of one or more of our key customers;</w:t>
      </w:r>
    </w:p>
    <w:p>
      <w:pPr>
        <w:spacing w:after="0" w:line="133" w:lineRule="exact"/>
        <w:rPr>
          <w:rFonts w:ascii="Arial" w:cs="Arial" w:eastAsia="Arial" w:hAnsi="Arial"/>
          <w:sz w:val="20"/>
          <w:szCs w:val="20"/>
          <w:color w:val="1E1E1E"/>
        </w:rPr>
      </w:pPr>
    </w:p>
    <w:p>
      <w:pPr>
        <w:ind w:left="980" w:right="40" w:hanging="490"/>
        <w:spacing w:after="0" w:line="278" w:lineRule="auto"/>
        <w:tabs>
          <w:tab w:leader="none" w:pos="980" w:val="left"/>
        </w:tabs>
        <w:numPr>
          <w:ilvl w:val="0"/>
          <w:numId w:val="31"/>
        </w:numPr>
        <w:rPr>
          <w:rFonts w:ascii="Arial" w:cs="Arial" w:eastAsia="Arial" w:hAnsi="Arial"/>
          <w:sz w:val="20"/>
          <w:szCs w:val="20"/>
          <w:color w:val="1E1E1E"/>
        </w:rPr>
      </w:pPr>
      <w:r>
        <w:rPr>
          <w:rFonts w:ascii="Times New Roman" w:cs="Times New Roman" w:eastAsia="Times New Roman" w:hAnsi="Times New Roman"/>
          <w:sz w:val="20"/>
          <w:szCs w:val="20"/>
          <w:color w:val="1E1E1E"/>
        </w:rPr>
        <w:t>dependency on customers with substantial purchasing power and leverage in negotiating contractual obligations as well as the operational structure of the relationship, resulting in potential reductions in profit;</w:t>
      </w:r>
    </w:p>
    <w:p>
      <w:pPr>
        <w:spacing w:after="0" w:line="60" w:lineRule="exact"/>
        <w:rPr>
          <w:rFonts w:ascii="Arial" w:cs="Arial" w:eastAsia="Arial" w:hAnsi="Arial"/>
          <w:sz w:val="20"/>
          <w:szCs w:val="20"/>
          <w:color w:val="1E1E1E"/>
        </w:rPr>
      </w:pPr>
    </w:p>
    <w:p>
      <w:pPr>
        <w:ind w:left="980" w:right="540" w:hanging="490"/>
        <w:spacing w:after="0" w:line="278" w:lineRule="auto"/>
        <w:tabs>
          <w:tab w:leader="none" w:pos="980" w:val="left"/>
        </w:tabs>
        <w:numPr>
          <w:ilvl w:val="0"/>
          <w:numId w:val="31"/>
        </w:numPr>
        <w:rPr>
          <w:rFonts w:ascii="Arial" w:cs="Arial" w:eastAsia="Arial" w:hAnsi="Arial"/>
          <w:sz w:val="20"/>
          <w:szCs w:val="20"/>
          <w:color w:val="1E1E1E"/>
        </w:rPr>
      </w:pPr>
      <w:r>
        <w:rPr>
          <w:rFonts w:ascii="Times New Roman" w:cs="Times New Roman" w:eastAsia="Times New Roman" w:hAnsi="Times New Roman"/>
          <w:sz w:val="20"/>
          <w:szCs w:val="20"/>
          <w:color w:val="1E1E1E"/>
        </w:rPr>
        <w:t>less efficient operations that could result in higher costs from an inability to accurately forecast and plan for volatile spending patterns of key customers;</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16</w:t>
      </w:r>
    </w:p>
    <w:p>
      <w:pPr>
        <w:sectPr>
          <w:pgSz w:w="11880" w:h="15480" w:orient="portrait"/>
          <w:cols w:equalWidth="0" w:num="1">
            <w:col w:w="10800"/>
          </w:cols>
          <w:pgMar w:left="540" w:top="1235" w:right="540" w:bottom="0" w:gutter="0" w:footer="0" w:header="0"/>
          <w:type w:val="continuous"/>
        </w:sectPr>
      </w:pPr>
    </w:p>
    <w:bookmarkStart w:id="26" w:name="page27"/>
    <w:bookmarkEnd w:id="26"/>
    <w:p>
      <w:pPr>
        <w:ind w:left="980" w:right="580" w:hanging="490"/>
        <w:spacing w:after="0" w:line="278" w:lineRule="auto"/>
        <w:tabs>
          <w:tab w:leader="none" w:pos="980" w:val="left"/>
        </w:tabs>
        <w:numPr>
          <w:ilvl w:val="0"/>
          <w:numId w:val="32"/>
        </w:numPr>
        <w:rPr>
          <w:rFonts w:ascii="Arial" w:cs="Arial" w:eastAsia="Arial" w:hAnsi="Arial"/>
          <w:sz w:val="20"/>
          <w:szCs w:val="20"/>
          <w:color w:val="1E1E1E"/>
        </w:rPr>
      </w:pPr>
      <w:r>
        <w:rPr>
          <w:rFonts w:ascii="Times New Roman" w:cs="Times New Roman" w:eastAsia="Times New Roman" w:hAnsi="Times New Roman"/>
          <w:sz w:val="20"/>
          <w:szCs w:val="20"/>
          <w:color w:val="1E1E1E"/>
        </w:rPr>
        <w:t>financial difficulties experienced by one or more of our key customers that could result in reduced purchases of our products and/or delays or difficulties in collecting accounts receivable balances;</w:t>
      </w:r>
    </w:p>
    <w:p>
      <w:pPr>
        <w:spacing w:after="0" w:line="60" w:lineRule="exact"/>
        <w:rPr>
          <w:rFonts w:ascii="Arial" w:cs="Arial" w:eastAsia="Arial" w:hAnsi="Arial"/>
          <w:sz w:val="20"/>
          <w:szCs w:val="20"/>
          <w:color w:val="1E1E1E"/>
        </w:rPr>
      </w:pPr>
    </w:p>
    <w:p>
      <w:pPr>
        <w:ind w:left="980" w:hanging="490"/>
        <w:spacing w:after="0" w:line="278" w:lineRule="auto"/>
        <w:tabs>
          <w:tab w:leader="none" w:pos="980" w:val="left"/>
        </w:tabs>
        <w:numPr>
          <w:ilvl w:val="0"/>
          <w:numId w:val="32"/>
        </w:numPr>
        <w:rPr>
          <w:rFonts w:ascii="Arial" w:cs="Arial" w:eastAsia="Arial" w:hAnsi="Arial"/>
          <w:sz w:val="20"/>
          <w:szCs w:val="20"/>
          <w:color w:val="1E1E1E"/>
        </w:rPr>
      </w:pPr>
      <w:r>
        <w:rPr>
          <w:rFonts w:ascii="Times New Roman" w:cs="Times New Roman" w:eastAsia="Times New Roman" w:hAnsi="Times New Roman"/>
          <w:sz w:val="20"/>
          <w:szCs w:val="20"/>
          <w:color w:val="1E1E1E"/>
        </w:rPr>
        <w:t>election by our key customers to purchase products from our competitors in order to diversify their supplier base and dual-source key products, resulting in reduced purchases of our products; and</w:t>
      </w:r>
    </w:p>
    <w:p>
      <w:pPr>
        <w:spacing w:after="0" w:line="60" w:lineRule="exact"/>
        <w:rPr>
          <w:rFonts w:ascii="Arial" w:cs="Arial" w:eastAsia="Arial" w:hAnsi="Arial"/>
          <w:sz w:val="20"/>
          <w:szCs w:val="20"/>
          <w:color w:val="1E1E1E"/>
        </w:rPr>
      </w:pPr>
    </w:p>
    <w:p>
      <w:pPr>
        <w:ind w:left="980" w:right="260" w:hanging="490"/>
        <w:spacing w:after="0" w:line="278" w:lineRule="auto"/>
        <w:tabs>
          <w:tab w:leader="none" w:pos="980" w:val="left"/>
        </w:tabs>
        <w:numPr>
          <w:ilvl w:val="0"/>
          <w:numId w:val="32"/>
        </w:numPr>
        <w:rPr>
          <w:rFonts w:ascii="Arial" w:cs="Arial" w:eastAsia="Arial" w:hAnsi="Arial"/>
          <w:sz w:val="20"/>
          <w:szCs w:val="20"/>
          <w:color w:val="1E1E1E"/>
        </w:rPr>
      </w:pPr>
      <w:r>
        <w:rPr>
          <w:rFonts w:ascii="Times New Roman" w:cs="Times New Roman" w:eastAsia="Times New Roman" w:hAnsi="Times New Roman"/>
          <w:sz w:val="20"/>
          <w:szCs w:val="20"/>
          <w:color w:val="1E1E1E"/>
        </w:rPr>
        <w:t>reductions in inventory levels held by channel partners and OEMs, which may be unrelated to purchasing trends by end customers.</w:t>
      </w:r>
    </w:p>
    <w:p>
      <w:pPr>
        <w:spacing w:after="0" w:line="16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1E1E1E"/>
        </w:rPr>
        <w:t>We are also exposed to similar risks to the extent that we have significant indirect sales to one or more end-users of our products, who may also be a direct customer.</w:t>
      </w:r>
    </w:p>
    <w:p>
      <w:pPr>
        <w:spacing w:after="0" w:line="16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A material portion of our sales is derived through our channel partners, including distributors, systems integrators and value-added resellers. Our channel partners have experienced financial difficulties in the past that have adversely affected our collection of accounts receivable. Our exposure to credit risks of our channel partners may increase if our channel partners and their end customers are adversely affected by global or regional economic conditions. One or more of these channel partners could delay payments or default on credit extended to them, either of which could materially and adversely affect our business, financial condition, results of operations and cash flows.</w:t>
      </w:r>
    </w:p>
    <w:p>
      <w:pPr>
        <w:spacing w:after="0" w:line="20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We generally have no minimum purchase commitments with any of our distributors, value-added resellers, operators, OEMs or other customers, and our contracts with these parties generally do not prohibit them from purchasing or offering products or services that compete with ours. We have historically experienced variability in the level of purchases by our key customers and expect that similar variability could affect future sales. Any significant reduction in sales to these customers, including as a result of the inability or unwillingness of these customers to continue purchasing our products, could materially and adversely affect our business, financial condition, results of operations, cash flows and stock price.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face competitive pressures with respect to all our major product groups.</w:t>
      </w:r>
    </w:p>
    <w:p>
      <w:pPr>
        <w:spacing w:after="0" w:line="1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Competition in our industry depends on a number of factors, including: innovative product and service solution offerings; the ability to adapt to changing markets and customer preferences; product and service quality; timing of the introduction of new products and services; speed of delivery; pricing; and customer service, including the total customer experience. In each of our major product groups, we compete with a substantial number of foreign and domestic companies, some of which have greater financial, technical, marketing and other resources or lower operating costs. They may also have broader product offerings and market focus. This gives many of these enterprises a competitive advantage to withstand any significant reduction in capital spending by customers in our markets over the long term. Further, our industry continues to consolidate, and the combination of any of our competitors could further increase these advantages and result in competitors with broader market presence.</w:t>
      </w:r>
    </w:p>
    <w:p>
      <w:pPr>
        <w:spacing w:after="0" w:line="20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1E1E1E"/>
        </w:rPr>
        <w:t>Some competitors may be able to bundle their products and services together and may be capable of delivering more complete solutions that better meet customer preferences than we are able to provide, which may cause us to lose sales opportunities and revenue. Competitors’ actions, such as price reductions, acceptance of high-risk contractual terms or the introduction of new, innovative products and services, and the use of exclusively price-driven auctions by customers, have caused lost sales opportunities in the past and may cause us to lose sales opportunities in the future.</w:t>
      </w:r>
    </w:p>
    <w:p>
      <w:pPr>
        <w:spacing w:after="0" w:line="19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1E1E1E"/>
        </w:rPr>
        <w:t>The rapid technological changes occurring in the communications industry could also lead to the entry of new competitors against whom we may not be able to compete successfully. For example, as networks become more virtualized, the functionality of our products is at risk of being subsumed by competitors who utilize software to provide the same functions as our products. A related trend that could affect us is the emerging interest in distributed access architecture (DAA), which disaggregates some of the functions of the converged cable access platform (CCAP) and the access and transport platforms to enable deployment of these functions in ways that could reduce traditional operator capital expenditures in hybrid fiber-coaxial. We have developed and deployed a line of DAA products, but some operators may not be aligned on the specific implementations of DAA and we could lose market share to competitors. Service providers also have the goal of virtualizing CCAP management and control functions as they deploy DAA, and although we are developing a fully virtualized CCAP product, this could potentially enable new competitors to enter the market and reduce operator dependence on our products. As there is technology evolution or transformation within the industry, whether it be DOCSIS 4.0, PON or Wi-Fi technology, there is a risk that our market position would be weakened. If any of our competitors’ products or technologies were to become the industry standard, our business would be negatively affected.</w:t>
      </w:r>
    </w:p>
    <w:p>
      <w:pPr>
        <w:sectPr>
          <w:pgSz w:w="11880" w:h="15480" w:orient="portrait"/>
          <w:cols w:equalWidth="0" w:num="1">
            <w:col w:w="10800"/>
          </w:cols>
          <w:pgMar w:left="540" w:top="12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17</w:t>
      </w:r>
    </w:p>
    <w:p>
      <w:pPr>
        <w:sectPr>
          <w:pgSz w:w="11880" w:h="15480" w:orient="portrait"/>
          <w:cols w:equalWidth="0" w:num="1">
            <w:col w:w="10800"/>
          </w:cols>
          <w:pgMar w:left="540" w:top="1253" w:right="540" w:bottom="0" w:gutter="0" w:footer="0" w:header="0"/>
          <w:type w:val="continuous"/>
        </w:sectPr>
      </w:pPr>
    </w:p>
    <w:bookmarkStart w:id="27" w:name="page28"/>
    <w:bookmarkEnd w:id="27"/>
    <w:p>
      <w:pPr>
        <w:ind w:right="20"/>
        <w:spacing w:after="0" w:line="244" w:lineRule="auto"/>
        <w:rPr>
          <w:sz w:val="20"/>
          <w:szCs w:val="20"/>
          <w:color w:val="auto"/>
        </w:rPr>
      </w:pPr>
      <w:r>
        <w:rPr>
          <w:rFonts w:ascii="Times New Roman" w:cs="Times New Roman" w:eastAsia="Times New Roman" w:hAnsi="Times New Roman"/>
          <w:sz w:val="20"/>
          <w:szCs w:val="20"/>
          <w:color w:val="1E1E1E"/>
        </w:rPr>
        <w:t>The continued industry shift toward open standards may result in an increase in competition for our products that may adversely impact our future revenues and margins. In addition, many of our customers participate in “technology pools” and increasingly request that we donate a portion of our source code used by customers to these pools, which may impact our ability to recapture the R&amp;D investment made in developing such code. We believe that we will be increasingly required to work with third-party technology providers. As a result, we expect the shift to more open standards may require us to license software and other components indirectly to third parties via various open-source or royalty-free licenses. In some circumstances, our use of such open-source technology may include technology or protocols developed by standard-setting bodies, other industry forums or third-party companies. The terms of the open-source licenses granted by such parties, or the granting of royalty-free licenses, may limit our ability to commercialize products that utilize such technology, which could have a material adverse effect on our results of operations.</w:t>
      </w:r>
    </w:p>
    <w:p>
      <w:pPr>
        <w:spacing w:after="0" w:line="2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In some instances, our customers themselves may also be our competition in other business areas. Some of our customers may develop their own software requiring support within our products and/or may design and develop products of their own that are produced to their own specifications directly by a contract manufacturer. Further, if we are unable to transform our business processes to support changing customer expectations and deliver a superior total customer experience, we may lose sales opportunities in the future. We are also facing significant and increased competition from original design manufacturers (ODMs) and contract manufacturers who are selling and attempting to sell their products directly to service providers.</w:t>
      </w:r>
    </w:p>
    <w:p>
      <w:pPr>
        <w:spacing w:after="0" w:line="20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1E1E1E"/>
        </w:rPr>
        <w:t>We cannot assure you that we will continue to compete successfully with our existing competitors or with new competitors. If we are unable to compete in any of our markets at the same level as we have in the past or are forced to reduce the prices of our products in order to continue to be competitive, our business, financial condition, results of operations and cash flows could be materially and adversely affected.</w:t>
      </w:r>
    </w:p>
    <w:p>
      <w:pPr>
        <w:spacing w:after="0" w:line="19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ability to sell our products is highly dependent on the quality of our support services after the sale, and our inability to provide adequate support after the sale would have a material adverse effect on our business.</w:t>
      </w:r>
    </w:p>
    <w:p>
      <w:pPr>
        <w:spacing w:after="0" w:line="4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1E1E1E"/>
        </w:rPr>
        <w:t>After our products are deployed, our channel partners and end customers depend on our support organization to resolve any issues relating to our products. A high level of support is important for the successful marketing and sale of our products. In many cases, our channel partners provide support directly to our end customers. We do not have complete control over the level or quality of support provided by our channel partners. These channel partners may also provide support for other third-party products, which may potentially distract resources from support for our products. If we and our channel partners do not effectively assist our end customers in deploying our products, quickly resolving post-deployment issues and provide effective ongoing support, it could adversely affect our ability to sell our products to existing end customers and could harm our reputation with potential end customers. In some cases, we guarantee a certain level of performance to our end customers, which could prove to be resource-intensive and expensive for us to fulfill if unforeseen technical problems arise.</w:t>
      </w:r>
    </w:p>
    <w:p>
      <w:pPr>
        <w:spacing w:after="0" w:line="2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Many of our service providers and large enterprise end customers have more complex networks and require higher levels of support than our smaller end customers. In addition, given the extent of our international operations, our support organization faces challenges, including those associated with delivering support, training and documentation in languages other than English. Our failure to maintain high-quality support and services could have a material adverse effect on our business, financial condition, results of operations and cash flows.</w:t>
      </w:r>
    </w:p>
    <w:p>
      <w:pPr>
        <w:spacing w:after="0" w:line="199"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Changes to the regulatory environment in which our customers operate and changes in or uncertainty about government funded programs may negatively impact our business.</w:t>
      </w:r>
    </w:p>
    <w:p>
      <w:pPr>
        <w:spacing w:after="0" w:line="4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1E1E1E"/>
        </w:rPr>
        <w:t>The telecommunications and cable television industries are subject to significant and changing federal and state regulation, both in the U.S. and other countries. Many of our customers, such as internet service providers, are subject to various rules and regulations, and changes to such rules and regulations could adversely impact our customers’ decisions regarding capital spending. We, as well as some of our customers, also participate in and benefit from government funded programs that encourage the development of network infrastructures such as the Infrastructure Investment and Jobs Act (IIJA), Rural Digital Opportunity Fund (RDOF) and American Rescue Plan Act (ARPA). Changes in government programs in our industry or uncertainty regarding future changes could adversely impact our customers’ decisions regarding capital spending, which could decrease demand for our products and could materially and adversely affect our business, financial condition, results of operations, cash flows and stock price.</w:t>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18</w:t>
      </w:r>
    </w:p>
    <w:p>
      <w:pPr>
        <w:sectPr>
          <w:pgSz w:w="11880" w:h="15480" w:orient="portrait"/>
          <w:cols w:equalWidth="0" w:num="1">
            <w:col w:w="10800"/>
          </w:cols>
          <w:pgMar w:left="540" w:top="1238" w:right="54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1E1E1E"/>
        </w:rPr>
        <w:t>Financial Risks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required to obtain financing in the future.</w:t>
      </w:r>
    </w:p>
    <w:p>
      <w:pPr>
        <w:spacing w:after="0" w:line="1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We currently believe that our existing cash and cash equivalents will be sufficient to meet our presently anticipated future cash needs for at least the next twelve months. However, we currently anticipate adding modest leverage to the business, although the form and amount of any such leverage has not yet been determined, and longer-term may be required to obtain additional financing to support our liquidity and capital-structure objectives. Any debt we incur in the future may have terms (including cash interest rate, financial covenants and covenants limiting our operating flexibility or ability to obtain additional financings) that are not favorable to us, and any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could have a material and adverse effect on our results of operations, cash flows, financial condition and liquidity.</w:t>
      </w:r>
    </w:p>
    <w:p>
      <w:pPr>
        <w:spacing w:after="0" w:line="20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We may experience volatility in cash flows between periods due to, among other reasons, variability in the timing of vendor payments and customer receipts. We may, from time to time, seek to obtain alternative sources of financing, by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spacing w:after="0" w:line="19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may need to recognize additional impairment charges related to goodwill, identified intangible assets, fixed assets and right of use assets.</w:t>
      </w:r>
    </w:p>
    <w:p>
      <w:pPr>
        <w:spacing w:after="0" w:line="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We have substantial balances of goodwill and identified intangible assets. As of December 31, 2025, goodwill and identified intangible assets represented approximately 32% of our total assets (excluding assets held for sale). We are required to test goodwill for possible impairment on the same date each year and on an interim basis if there are indicators of a possible impairment. We have recognized substantial impairment charges related to goodwill, including $472.3 million in 2023. For the 2025 annual impairment test, we determined that the fair value of our reporting units exceeded the carrying value and that no impairment existed. In the future, if we are unable to improve our results of operations and cash flows, or other indicators of impairment exist, such as a sustained significant decline in our share price and market capitalization, we may incur material charges against earnings relating to our remaining goodwill.</w:t>
      </w:r>
    </w:p>
    <w:p>
      <w:pPr>
        <w:spacing w:after="0" w:line="20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1E1E1E"/>
        </w:rPr>
        <w:t>We are also required to evaluate identified intangible assets, fixed assets and right of use assets for impairment if there are indicators of a possible impairment. In the past, due to revisions in financial performance outlooks or deterioration in certain markets, we have recognized significant impairment charges on identified intangible assets and fixed assets. In the future, we may again determine that one or more of our long-lived assets is impaired and additional impairment charges may be recognized that could have a material adverse effect on our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Supply Chain Risks</w:t>
      </w:r>
    </w:p>
    <w:p>
      <w:pPr>
        <w:spacing w:after="0" w:line="12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are dependent on certain raw materials and components linked to the commodity markets and utilize a limited number of key suppliers for logistics support of certain of these raw materials and components, subjecting us to cost volatility and supply shortages or delays that could limit our ability to manufacture products.</w:t>
      </w:r>
    </w:p>
    <w:p>
      <w:pPr>
        <w:spacing w:after="0" w:line="6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1E1E1E"/>
        </w:rPr>
        <w:t>We are dependent on certain raw materials and components linked to the commodity markets, and our profitability may be materially affected by changes in the market price. The principal raw materials and components we purchase are aluminum, copper, steel, optical fiber, capacitors, memory devices and silicon chips. Prices for aluminum, copper, steel, silicon and memory have experienced significant volatility in the past as a result of changes in the levels of global demand, supply disruptions, including port, transportation and distribution delays or interruptions, and other factors. As a result, in the past we saw significant increases in costs that negatively impacted our results of operations. We adjusted our prices for most of our products, but if we see significant increases in costs again, we may have to adjust prices in the future. Delays in implementing price increases or a failure to achieve market acceptance of price increases has in the past, and could in the future, have a material adverse impact on our results of operations. Conversely, in an environment of falling commodities prices, we may be unable to sell higher-cost inventory before implementing price decreases, which could have a material adverse impact on our business, financial condition and results of operations.</w:t>
      </w:r>
    </w:p>
    <w:p>
      <w:pPr>
        <w:sectPr>
          <w:pgSz w:w="11880" w:h="15480" w:orient="portrait"/>
          <w:cols w:equalWidth="0" w:num="1">
            <w:col w:w="10780"/>
          </w:cols>
          <w:pgMar w:left="540" w:top="123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19</w:t>
      </w:r>
    </w:p>
    <w:p>
      <w:pPr>
        <w:sectPr>
          <w:pgSz w:w="11880" w:h="15480" w:orient="portrait"/>
          <w:cols w:equalWidth="0" w:num="1">
            <w:col w:w="10780"/>
          </w:cols>
          <w:pgMar w:left="540" w:top="1235" w:right="560" w:bottom="0" w:gutter="0" w:footer="0" w:header="0"/>
          <w:type w:val="continuous"/>
        </w:sectPr>
      </w:pPr>
    </w:p>
    <w:bookmarkStart w:id="29" w:name="page30"/>
    <w:bookmarkEnd w:id="29"/>
    <w:p>
      <w:pPr>
        <w:ind w:right="60"/>
        <w:spacing w:after="0" w:line="244" w:lineRule="auto"/>
        <w:rPr>
          <w:sz w:val="20"/>
          <w:szCs w:val="20"/>
          <w:color w:val="auto"/>
        </w:rPr>
      </w:pPr>
      <w:r>
        <w:rPr>
          <w:rFonts w:ascii="Times New Roman" w:cs="Times New Roman" w:eastAsia="Times New Roman" w:hAnsi="Times New Roman"/>
          <w:sz w:val="20"/>
          <w:szCs w:val="20"/>
          <w:color w:val="1E1E1E"/>
        </w:rPr>
        <w:t>We also utilize a limited number of key suppliers for logistics support of certain of our raw material and component purchases, including certain semiconductors, memory devices and chip capacitors, polymers, copper rod, copper and aluminum tapes, fine aluminum wire, steel wire, optical fiber, circuit boards and other electronic components, subassemblies and modules. Certain of our suppliers are sole source suppliers, and a number of our agreements with suppliers are short-term in nature. Our reliance on sole or limited suppliers and our reliance on subcontractors involves several risks, including a potential inability to obtain an adequate supply of required materials, components and other products, and reduced control over pricing, quality, terms and conditions of purchase and timely delivery. Coming out of the COVID-19 pandemic, we saw shortages in supply of memory devices, capacitors and silicon chips that negatively impacted our ability to deliver on a timely basis and increased our product costs, which unfavorably impacted our results of operations, financial condition and cash flows and increased our risk of excess and obsolescence component inventory.</w:t>
      </w:r>
    </w:p>
    <w:p>
      <w:pPr>
        <w:spacing w:after="0" w:line="20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1E1E1E"/>
        </w:rPr>
        <w:t>Our key suppliers have experienced in the past, and could experience in the future, production, operational or financial difficulties, or there may be global shortages and pricing inflation of certain raw materials or components we use. Our inability to find sufficient sources of supply on reasonable terms could impact our ability to manufacture products in a cost-effective manner. We have adjusted our market prices for certain of our products as component prices have changed, but we may not be able to pass along all further cost increases to our customers, which could have a material adverse effect on our gross margin and results of operations, especially in a highly inflationary environment. Our ability to ship products on a timely basis has been and may continue to be unfavorably impacted, which could damage relationships with current and prospective customers and potentially have a material adverse effect on our business.</w:t>
      </w:r>
    </w:p>
    <w:p>
      <w:pPr>
        <w:spacing w:after="0" w:line="20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1E1E1E"/>
        </w:rPr>
        <w:t>We also source many of our components from international markets. Any change in the laws and policies of the U.S. or other countries affecting trade, including pursuant to policies of the current U.S. administration, is a risk to us. To the extent there are unfavorable changes imposed by the U.S. or other countries and/or retaliatory actions taken by trading partners, such as the addition of new tariffs or trade restrictions, we may experience material adverse impacts on earnings. For a more complete discussion of our risks related to tariffs and trade restrictions, see the risk factor, “Additional tariffs or a global trade war could increase the cost of our products, which could adversely impact the competitiveness of our products” under our “International Risk Factors” in this Item 1A. Risk Factors section.</w:t>
      </w:r>
    </w:p>
    <w:p>
      <w:pPr>
        <w:spacing w:after="0" w:line="202" w:lineRule="exact"/>
        <w:rPr>
          <w:sz w:val="20"/>
          <w:szCs w:val="20"/>
          <w:color w:val="auto"/>
        </w:rPr>
      </w:pPr>
    </w:p>
    <w:p>
      <w:pPr>
        <w:ind w:right="9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our integrated global manufacturing operations, including our contract manufacturers, suffer capacity constraints or production or shipping delays, we may have difficulty meeting customer demands.</w:t>
      </w:r>
    </w:p>
    <w:p>
      <w:pPr>
        <w:spacing w:after="0" w:line="4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1E1E1E"/>
        </w:rPr>
        <w:t>Disruption of our ability to produce at or distribute from our manufacturing or contract manufacturing facilities could adversely affect our ability to manufacture products in a cost-effective and timely manner. We experienced lost sales opportunities in the past due to lack of capacity to meet the demand for certain of our products. If we cannot ramp up capacity fast enough to meet customer demand in the future, we may experience lost sales opportunities, lose market share and experience customer relations problems, which could have a material adverse effect on our business, financial condition, results of operations and cash flows.</w:t>
      </w:r>
    </w:p>
    <w:p>
      <w:pPr>
        <w:spacing w:after="0" w:line="197"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1E1E1E"/>
        </w:rPr>
        <w:t>We rely on unaffiliated contract manufacturers, both domestically and internationally, to produce certain products or key components of products. Our reliance on these contract manufacturers reduces our control over the manufacturing process and exposes us to risks, including reduced control over quality assurance, product supply and costs and timing. Any manufacturing disruption by our contract manufacturers could severely impair our ability to fulfill orders. Our reliance on outsourced manufacturers also increases the potential for infringement or misappropriation of our intellectual property.</w:t>
      </w:r>
    </w:p>
    <w:p>
      <w:pPr>
        <w:spacing w:after="0" w:line="19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If our internal manufacturing operations or contract manufacturers suffer delays or disruptions in production or other operations for any reason, including financial instability of the contract manufacturer, labor disturbances or shortages, fires, electrical outages, cybersecurity incidents, pandemics/epidemics, severe weather events, natural disasters, geopolitical instability, acts of violence or terrorism, shipping interruptions including port distribution delays or interruptions, increased manufacturing lead times, capacity constraints or quality control problems in their manufacturing operations, failure to meet our future requirements for timely delivery or some other catastrophic event, our ability to manufacture products at our manufacturing or contract manufacturer facilities and ship products to our customers in a cost-effective and timely manner could be impaired, which could have a material adverse effect on our business, financial condition, results of operations and cash flows.</w:t>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20</w:t>
      </w:r>
    </w:p>
    <w:p>
      <w:pPr>
        <w:sectPr>
          <w:pgSz w:w="11880" w:h="15480" w:orient="portrait"/>
          <w:cols w:equalWidth="0" w:num="1">
            <w:col w:w="10800"/>
          </w:cols>
          <w:pgMar w:left="540" w:top="1238" w:right="540" w:bottom="0" w:gutter="0" w:footer="0" w:header="0"/>
          <w:type w:val="continuous"/>
        </w:sectPr>
      </w:pPr>
    </w:p>
    <w:bookmarkStart w:id="30" w:name="page31"/>
    <w:bookmarkEnd w:id="30"/>
    <w:p>
      <w:pPr>
        <w:ind w:right="120"/>
        <w:spacing w:after="0" w:line="246" w:lineRule="auto"/>
        <w:rPr>
          <w:sz w:val="20"/>
          <w:szCs w:val="20"/>
          <w:color w:val="auto"/>
        </w:rPr>
      </w:pPr>
      <w:r>
        <w:rPr>
          <w:rFonts w:ascii="Times New Roman" w:cs="Times New Roman" w:eastAsia="Times New Roman" w:hAnsi="Times New Roman"/>
          <w:sz w:val="20"/>
          <w:szCs w:val="20"/>
          <w:color w:val="1E1E1E"/>
        </w:rPr>
        <w:t>Our contract manufacturers typically fulfill our supply requirements on the basis of individual orders. In most cases, we do not have long-term contracts with our contract manufacturers that guarantee capacity, the continuation of particular pricing terms or the extension of credit limits. Accordingly, our contract manufacturers are not always obligated to continue to fulfill our supply requirements, which could result in supply shortages, and the prices we are charged for manufacturing services could be increased on short notice. If our manufacturers are unable or unwilling to continue manufacturing our products in required volumes, we will be required to identify one or more acceptable alternative manufacturers to satisfy our demand. There is no assurance that we would be able to identify suitable alternative manufacturing partners on a timely basis, on terms that are acceptable to us, or at all.</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1E1E1E"/>
        </w:rPr>
        <w:t>Some of our manufacturing and contract manufacturing facilities rely on aging production equipment and information technology infrastructure, and if we fail or our contract manufacturers fail to properly maintain or update this equipment, it could affect our ability to manufacture or ship products.</w:t>
      </w:r>
    </w:p>
    <w:p>
      <w:pPr>
        <w:spacing w:after="0" w:line="187" w:lineRule="exact"/>
        <w:rPr>
          <w:sz w:val="20"/>
          <w:szCs w:val="20"/>
          <w:color w:val="auto"/>
        </w:rPr>
      </w:pPr>
    </w:p>
    <w:p>
      <w:pPr>
        <w:ind w:right="600"/>
        <w:spacing w:after="0" w:line="304" w:lineRule="exact"/>
        <w:rPr>
          <w:sz w:val="20"/>
          <w:szCs w:val="20"/>
          <w:color w:val="auto"/>
        </w:rPr>
      </w:pPr>
      <w:r>
        <w:rPr>
          <w:rFonts w:ascii="Times New Roman" w:cs="Times New Roman" w:eastAsia="Times New Roman" w:hAnsi="Times New Roman"/>
          <w:sz w:val="20"/>
          <w:szCs w:val="20"/>
          <w:b w:val="1"/>
          <w:bCs w:val="1"/>
          <w:i w:val="1"/>
          <w:iCs w:val="1"/>
          <w:color w:val="1E1E1E"/>
        </w:rPr>
        <w:t xml:space="preserve">We may experience supply chain disruptions due to climate-related events. </w:t>
      </w:r>
      <w:r>
        <w:rPr>
          <w:rFonts w:ascii="Times New Roman" w:cs="Times New Roman" w:eastAsia="Times New Roman" w:hAnsi="Times New Roman"/>
          <w:sz w:val="20"/>
          <w:szCs w:val="20"/>
          <w:color w:val="1E1E1E"/>
        </w:rPr>
        <w:t>Climate</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related events, including increasingly frequent and severe extreme weather, may disrupt our upstream supply chain by</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1E1E1E"/>
        </w:rPr>
        <w:t>delaying component deliveries, damaging supplier facilities and interrupting transportation routes. These disruptions can increase logistics and procurement costs, extend production lead times and reduce operational efficiency, particularly in climate vulnerable regions. Prolonged or repeated disruptions could limit our ability to meet customer demand, result in lost sales, and adversely affect our financial performance and competitive position.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Strategic Risks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The successful execution of our transformation plan is key to the long-term success of our business.</w:t>
      </w:r>
    </w:p>
    <w:p>
      <w:pPr>
        <w:spacing w:after="0" w:line="1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Over the last several years, we have been executing under a business transformation initiative designed to drive stakeholder value. Our transformation initiative could result in changes to our business that may result in a number of risks and uncertainties, including the following: lost customers or reduced sales volumes if customers do not accept higher pricing, our new product offerings or if we discontinue or divest of product lines; higher one-time costs such as restructuring costs and transaction, transformation and integration costs; the loss of key management and other employees if we are not successful in getting employee buy-in for our transformation initiative; and additional supply chain disruptions or higher costs of supplies if we do not successfully execute our projects related to direct and indirect procurement. The implementation of our transformation initiative may take longer than anticipated, and once implemented, we may not realize, in full or in part, the anticipated benefits or such benefits may be realized more slowly than anticipated. Any failure to realize benefits could have a material adverse effect on our business, financial condition, results of operations, cash flows and stock price.</w:t>
      </w:r>
    </w:p>
    <w:p>
      <w:pPr>
        <w:spacing w:after="0" w:line="20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Difficulties may be encountered in the realignment of manufacturing capacity and capabilities among our global manufacturing operations, including our contract manufacturers, that could adversely affect our ability to meet customer demand for our products.</w:t>
      </w:r>
    </w:p>
    <w:p>
      <w:pPr>
        <w:spacing w:after="0" w:line="6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1E1E1E"/>
        </w:rPr>
        <w:t>We periodically realign manufacturing capacity among our manufacturing facility and contract manufacturers in order to reduce costs by improving manufacturing efficiency and to strengthen our long-term competitive position. The implementation of these strategic initiatives may include significant shifts of production capacity among facilities and contract manufacturers. For example, in the past, we have transitioned manufacturing for certain products in response to newly enacted tariffs. In addition, in response to intermittent shutdowns of our facilities during the COVID-19 pandemic, we transitioned certain manufacturing to less impacted facilities. These changes are time-consuming and costly, and changes in our contract manufacturers or manufacturing locations may cause significant interruptions in supply if the manufacturers have difficulty manufacturing products to our specifications. There are significant risks inherent in the implementation of these initiatives, including our failure to ensure the following: adequate inventory on hand or production capacity to meet customer demand while capacity is being shifted among facilities; maintaining product quality as a result of shifting capacity; adequate raw material and other service providers to meet the needs at the new production locations; ability to successfully remove, transport and re-install equipment; and availability of adequate supervisory, production and support personnel to accommodate the shifted production. In the event manufacturing realignment initiatives are not successfully implemented, we could experience lost future sales and increased operating costs, as well as customer relations problems, any of which could have a material adverse effect on our business, financial condition, results of operations and cash flows.</w:t>
      </w:r>
    </w:p>
    <w:p>
      <w:pPr>
        <w:sectPr>
          <w:pgSz w:w="11880" w:h="15480" w:orient="portrait"/>
          <w:cols w:equalWidth="0" w:num="1">
            <w:col w:w="10780"/>
          </w:cols>
          <w:pgMar w:left="540" w:top="123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21</w:t>
      </w:r>
    </w:p>
    <w:p>
      <w:pPr>
        <w:sectPr>
          <w:pgSz w:w="11880" w:h="15480" w:orient="portrait"/>
          <w:cols w:equalWidth="0" w:num="1">
            <w:col w:w="10780"/>
          </w:cols>
          <w:pgMar w:left="540" w:top="1238" w:right="560" w:bottom="0" w:gutter="0" w:footer="0" w:header="0"/>
          <w:type w:val="continuous"/>
        </w:sectPr>
      </w:pPr>
    </w:p>
    <w:bookmarkStart w:id="31" w:name="page32"/>
    <w:bookmarkEnd w:id="31"/>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The separation, discontinuance or divestiture of a business or product line is subject to various risks and uncertainties that could disrupt or adversely affect our business.</w:t>
      </w:r>
    </w:p>
    <w:p>
      <w:pPr>
        <w:spacing w:after="0" w:line="46"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color w:val="1E1E1E"/>
        </w:rPr>
        <w:t>To better optimize our portfolio of products, we have recently divested the CCS segment, the OWN segment and the DAS business unit, the OneCell business and the Home business, and we may in the future decide to separate, discontinue or divest of other businesses or product lines that we believe are not core to our business, or where we believe the separation, discontinuation or divestiture will be accretive to stakeholders. A plan to separate, discontinue or divest a business or product line is complex in nature and can be affected by unanticipated developments or changes, including changes in the macroeconomic, regulatory or political environment, changes in credit or equity markets or changes in other market conditions.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If we do choose to separate, discontinue or divest of a business or product line and successfully complete the separation plan, we cannot assure you or any of our stakeholders that we will achieve the expected benefits. Upon completion, we would also be a smaller, less diversified company and may be more vulnerable to changing market conditions. In addition, we will continue to incur certain ongoing costs, which will be shared across a smaller company and which may exceed our estimates.</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Whether or not a separation plan is completed, our businesses may face risks and uncertainties, including, but not limited to: the diversion of senior management’s attention from ongoing business concerns; maintaining employee morale and retaining key management and other employees; retaining existing business and operational relationships, including with customers, suppliers and employees, and attracting new business and operational relationships; foreseen and unforeseen costs and expenses; and potential negative reactions from the financial markets if we fail to complete a separation plan as expected, within the anticipated time frame, or at all. Any of these factors could have a material adverse effect on our business, financial condition, results of operations, cash flows and stock price.</w:t>
      </w:r>
    </w:p>
    <w:p>
      <w:pPr>
        <w:spacing w:after="0" w:line="20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business strategy could rely, in part, on acquisitions to create growth. We may not fully realize anticipated benefits from past or future acquisitions or investments in other companies.</w:t>
      </w:r>
    </w:p>
    <w:p>
      <w:pPr>
        <w:spacing w:after="0" w:line="4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Our business strategy could rely, in part, on acquisitions to create growth, such as our historical acquisitions of Casa in 2024, ARRIS International plc (ARRIS) in 2019. Future growth could be accomplished by acquiring existing businesses, products or technologies. We cannot guarantee that we will be able to identify suitable acquisition opportunities or obtain the necessary financing on acceptable terms to provide these future growth opportunities. We may spend time and money investigating and negotiating with potential acquisition or investment targets without completing the transaction, which may divert or waste resources.</w:t>
      </w:r>
    </w:p>
    <w:p>
      <w:pPr>
        <w:spacing w:after="0" w:line="1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1E1E1E"/>
        </w:rPr>
        <w:t>All acquisitions involve risks, such as the assumption of additional liabilities and expenses, issuance of debt, incurrence of transaction and integration costs, diversion of management’s attention from other business concerns, assumption of unknown contingent liabilities, unanticipated litigation costs and falling short of growth expectations. There are also significant challenges to integrating an acquired operation into our business, including, but not limited to, successfully managing the operations, manufacturing facilities and technology of the combined business; integrating the sales organizations; maintaining and increasing the customer base; retaining key employees, suppliers and distributors; integrating management information systems, including enterprise resource planning (ERP) systems; integrating inventory management and accounting activities; integrating R&amp;D activities; navigating markets in which we potentially have limited or no prior experience; integrating and implementing effective disclosure controls and procedures and internal controls over financial reporting; and the impact of goodwill or other impairment charges, amortization costs for acquired intangible assets and acquisition accounting treatment, including the loss of deferred revenue and increases in the fair values of inventory and other acquired assets, on our financial condition and results of operations. Furthermore, such acquisitions may be dilutive to our financial results. Although we typically expect to realize strategic, operational and financial benefits as a result of our past and future acquisitions and investments, we cannot predict or guarantee whether and to what extent anticipated cost savings, synergies and growth prospects will be achieved. For example, we have not fully achieved the expected growth prospects associated with the ARRIS acquisition and that has had adverse effects on our financial condition, results of operations, cash flows and stock price.</w:t>
      </w:r>
    </w:p>
    <w:p>
      <w:pPr>
        <w:sectPr>
          <w:pgSz w:w="11880" w:h="15480" w:orient="portrait"/>
          <w:cols w:equalWidth="0" w:num="1">
            <w:col w:w="10780"/>
          </w:cols>
          <w:pgMar w:left="540" w:top="124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22</w:t>
      </w:r>
    </w:p>
    <w:p>
      <w:pPr>
        <w:sectPr>
          <w:pgSz w:w="11880" w:h="15480" w:orient="portrait"/>
          <w:cols w:equalWidth="0" w:num="1">
            <w:col w:w="10780"/>
          </w:cols>
          <w:pgMar w:left="540" w:top="1240" w:right="56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need to undertake additional restructuring actions in the future.</w:t>
      </w:r>
    </w:p>
    <w:p>
      <w:pPr>
        <w:spacing w:after="0" w:line="11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1E1E1E"/>
        </w:rPr>
        <w:t>We have previously recognized restructuring charges in conjunction with the implementation of initiatives to reduce costs and improve the efficiency of our operations and to integrate acquisitions. For example, our transformation initiative actions to date have included the closure of a manufacturing facility, reduction in our real estate footprint, including the consolidation of distribution facilities, as well as workforce reductions. In prior years, we have also undertaken a number of initiatives to support the integration of acquisitions, such as the 2019 acquisition of the ARRIS business. These initiatives also included the closure of manufacturing facilities, consolidation of distribution centers and other real estate and various other workforce reductions. As a result of the continued efforts related to our transformation initiative, changes in business conditions and other developments, we may need to initiate additional restructuring actions that could result in workforce reductions and restructuring charges, which could adversely and materially affect our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Business and Operational Risks</w:t>
      </w:r>
    </w:p>
    <w:p>
      <w:pPr>
        <w:spacing w:after="0" w:line="12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future success depends on our ability to anticipate and adapt to changes in technology and customer preferences and develop, implement and market innovative solutions.</w:t>
      </w:r>
    </w:p>
    <w:p>
      <w:pPr>
        <w:spacing w:after="0" w:line="4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Many of our markets are characterized by rapid advances in information processing and communications capabilities that require increased transmission speeds and density and greater bandwidth. These advances require significant investments in R&amp;D in order to improve the capabilities of our products and services and develop new offerings or solutions that will meet the needs and preferences of our customers. There can be no assurance that our investments in R&amp;D will yield marketable product or service innovations.</w:t>
      </w:r>
    </w:p>
    <w:p>
      <w:pPr>
        <w:spacing w:after="0" w:line="190"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20"/>
          <w:szCs w:val="20"/>
          <w:color w:val="1E1E1E"/>
        </w:rPr>
        <w:t>We may not be successful in our ongoing innovation efforts if, among other things, our products and services are not cost effective, brought to market in a timely manner, compliant with evolving industry standards, accepted in the market or recognized as meeting customer requirements. We could experience a material adverse effect on our business, financial condition, results of operations and cash flows if we are not successful in our ongoing innovation efforts.</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As our products become more complex and customer preferences continue to change, we may encounter difficulties in meeting such preferences, including performance, service and delivery expectations. Developing our products is expensive, complex and involves uncertainties. Each phase in the development of our products presents serious risks of failure, rework or delay, any one of which could impact the timing and cost-effective development of such product and could jeopardize end customer acceptance of the product. We have experienced in the past, and may in the future experience, design, manufacturing, marketing and other difficulties that could delay or prevent the development, introduction or marketing of new products and enhancements. Any such difficulties or delays could have a material adverse effect on our results of operations, financial condition and 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If we do not stay current with product life cycle developments, our business may suffer.</w:t>
      </w:r>
    </w:p>
    <w:p>
      <w:pPr>
        <w:spacing w:after="0" w:line="11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To compete successfully, we must continue to innovate in anticipation of both our customers’ needs and developing industry trends, which require us to quickly design, develop, manufacture and sell new or enhanced products that provide increasingly higher levels of performance and reliability. If we do not have competitively priced, market-accepted products available to meet our customers’ planned roll-out of new technologies, we may miss a significant opportunity and our business, financial condition, results of operations and cash flows could be materially and adversely affected.</w:t>
      </w:r>
    </w:p>
    <w:p>
      <w:pPr>
        <w:spacing w:after="0" w:line="19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The introduction of new or enhanced products requires that we carefully manage the transition from older products to minimize disruption in customer ordering practices and ensure that new products can be timely delivered to meet our customers’ demand. If we are not able to support our customers in an effective and cost-efficient manner as they advance from older generation networks or as they expand the capacity of their networks, our business will suffer.</w:t>
      </w:r>
    </w:p>
    <w:p>
      <w:pPr>
        <w:spacing w:after="0" w:line="190"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0"/>
          <w:szCs w:val="20"/>
          <w:color w:val="1E1E1E"/>
        </w:rPr>
        <w:t>Furthermore, there are several major trends that we expect to continue to impact the enterprise market and product life cycles, including the shift to 5G, enterprise shifts toward mobility indoors and adjustments of more access points and in-building cellular applications.</w:t>
      </w:r>
    </w:p>
    <w:p>
      <w:pPr>
        <w:spacing w:after="0" w:line="185"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20"/>
          <w:szCs w:val="20"/>
          <w:color w:val="1E1E1E"/>
        </w:rPr>
        <w:t>In order to stay current with product life cycle developments, we have formed strategic relationships with leading technology companies to provide us with early access to technology that we believe will help keep us at the forefront of our industry. Our strategic alliances are generally based on business relationships that have not been the subject of written agreements expressly providing for the alliance to continue for a significant period of time, and the loss of any such strategic relationship could have a material adverse effect on our business and results of operations.</w:t>
      </w:r>
    </w:p>
    <w:p>
      <w:pPr>
        <w:sectPr>
          <w:pgSz w:w="11880" w:h="15480" w:orient="portrait"/>
          <w:cols w:equalWidth="0" w:num="1">
            <w:col w:w="10760"/>
          </w:cols>
          <w:pgMar w:left="540" w:top="12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23</w:t>
      </w:r>
    </w:p>
    <w:p>
      <w:pPr>
        <w:sectPr>
          <w:pgSz w:w="11880" w:h="15480" w:orient="portrait"/>
          <w:cols w:equalWidth="0" w:num="1">
            <w:col w:w="10760"/>
          </w:cols>
          <w:pgMar w:left="540" w:top="1240" w:right="580" w:bottom="0" w:gutter="0" w:footer="0" w:header="0"/>
          <w:type w:val="continuous"/>
        </w:sectPr>
      </w:pPr>
    </w:p>
    <w:bookmarkStart w:id="33" w:name="page34"/>
    <w:bookmarkEnd w:id="33"/>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our products do not effectively interoperate with cellular networks and mobile devices, future sales of our products could be negatively affected.</w:t>
      </w:r>
    </w:p>
    <w:p>
      <w:pPr>
        <w:spacing w:after="0" w:line="4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Many of our products are designed to interoperate with cellular networks and mobile devices using Wi-Fi technology. These networks and devices have varied and complex specifications. As a result, we must ensure that our products interoperate effectively with these existing and planned networks and devices. To meet these requirements, we must continue development and testing efforts that require significant capital and employee resources. We may not accomplish these development efforts quickly or cost-effectively, or at all. If our products do not interoperate effectively, orders for our products could be delayed or cancelled, which would harm our revenue, operating results and reputation, potentially resulting in the loss of existing and potential end customers. The failure of our products to interoperate effectively with cellular networks or mobile devices may result in significant warranty, support and repair costs, may divert the attention of our engineering personnel from our product development efforts and may cause significant customer relations problems. In addition, our end customers may require our products to comply with new and rapidly evolving security or other certifications and standards. If our products are late in achieving or fail to achieve compliance with these certifications and standards, or our competitors first achieve compliance with these certifications and standards, such end customers may not purchase our products, which would harm our business, operating results, financial condition and cash flows.</w:t>
      </w:r>
    </w:p>
    <w:p>
      <w:pPr>
        <w:spacing w:after="0" w:line="207"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our product or service offerings, including material purchased from our suppliers, have quality or performance issues, our business may suffer.</w:t>
      </w:r>
    </w:p>
    <w:p>
      <w:pPr>
        <w:spacing w:after="0" w:line="4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1E1E1E"/>
        </w:rPr>
        <w:t>Our business depends on delivering products and services of consistently high quality. Many of our solutions are highly complex, and testing procedures used by us and our customers are limited to evaluating them under likely and foreseeable failure scenarios. Many of our products include both hardware and software components. It is not unusual for software, especially in earlier versions, to contain bugs that can unexpectedly interfere with expected operations. For various reasons, once deployed, our products may fail to perform as expected. Performance issues could result from faulty design, defective raw materials or components purchased from suppliers, problems in manufacturing or installation errors. We have experienced such performance issues in the past and remain exposed to such performance issues in the future. In some cases, recall of some or all affected products, product redesigns or additional capital expenditures may be required to correct a defect; and depending on the number of products affected, the cost of fixing or replacing such products could have a material impact on our results of operations and cash flows. Our agreements with our contract manufacturers and component suppliers may not cover all costs related to defects.</w:t>
      </w:r>
    </w:p>
    <w:p>
      <w:pPr>
        <w:spacing w:after="0" w:line="20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In some cases, we are dependent on a sole supplier for components used in our products. Defects in sole-sourced components subject us to additional risk of being unable to quickly address any product issues or failures experienced by our customers as a result of the component defect and could delay our ability to deliver new products until the defective components are corrected or a new supplier is identified and qualified. This could increase our costs in resolving the product issue, result in decreased sales of the impacted product or damage our reputation with customers, any of which could negatively impact our results of operations.</w:t>
      </w:r>
    </w:p>
    <w:p>
      <w:pPr>
        <w:spacing w:after="0" w:line="197"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0"/>
          <w:szCs w:val="20"/>
          <w:color w:val="1E1E1E"/>
        </w:rPr>
        <w:t>Hardware or software defects could also permit unauthorized users to gain access to our customers’ networks and/or a consumer’s home network. In addition to potentially damaging our reputation with customers, such defects may also subject us to claims for damages under agreements with our customers and fines by regulatory authorities.</w:t>
      </w:r>
    </w:p>
    <w:p>
      <w:pPr>
        <w:spacing w:after="0" w:line="185"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1E1E1E"/>
        </w:rPr>
        <w:t>We offer warranties on most products, the terms and conditions of which depend upon the product subject to the warranty. In many cases, we also indemnify our customers against damages or losses that might arise from certain claims relating to our products and services. Future claims may have a material adverse effect on our business, financial condition, results of operations and cash flows. Any significant or systemic product or service failure could also result in lost future sales as a result of reputational damage.</w:t>
      </w:r>
    </w:p>
    <w:p>
      <w:pPr>
        <w:spacing w:after="0" w:line="19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9"/>
          <w:szCs w:val="19"/>
          <w:color w:val="1E1E1E"/>
        </w:rPr>
        <w:t>Our products have been deployed in many different locations and user environments and are capable of providing services and connectivity to many different types of devices operating a variety of applications. The ability of our products to operate effectively can be negatively impacted by many different elements unrelated to our products. For example, a user’s experience may suffer from an incorrect setting in a Wi-Fi device. Although certain technical problems experienced by users may not be caused by our products, users often may perceive them to be the underlying cause of poor performance of the wireless network. This perception, even if incorrect, could harm our business and reputation. Similarly, a high-profile network failure may be caused by improper operation of the network or failure of a network component that we did not supply, but service providers may perceive that our products were implicated, which, even if incorrect, could harm our business, financial condition, results of operations and cash flows.</w:t>
      </w:r>
    </w:p>
    <w:p>
      <w:pPr>
        <w:sectPr>
          <w:pgSz w:w="11880" w:h="15480" w:orient="portrait"/>
          <w:cols w:equalWidth="0" w:num="1">
            <w:col w:w="10800"/>
          </w:cols>
          <w:pgMar w:left="540" w:top="12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24</w:t>
      </w:r>
    </w:p>
    <w:p>
      <w:pPr>
        <w:sectPr>
          <w:pgSz w:w="11880" w:h="15480" w:orient="portrait"/>
          <w:cols w:equalWidth="0" w:num="1">
            <w:col w:w="10800"/>
          </w:cols>
          <w:pgMar w:left="540" w:top="1240" w:right="540" w:bottom="0" w:gutter="0" w:footer="0" w:header="0"/>
          <w:type w:val="continuous"/>
        </w:sectPr>
      </w:pPr>
    </w:p>
    <w:bookmarkStart w:id="34" w:name="page35"/>
    <w:bookmarkEnd w:id="34"/>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depend on cloud computing infrastructure operated by third parties and any disruption in these operations could adversely affect our business.</w:t>
      </w:r>
    </w:p>
    <w:p>
      <w:pPr>
        <w:spacing w:after="0" w:line="4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For certain of our service offerings, in particular our Wi-Fi-related cloud services, we rely on third parties to provide cloud computing infrastructure that offers storage capabilities, data processing and other services. We currently operate our cloud-dependent services using Amazon Web Service (AWS), Google Cloud Platform (GCP) or Microsoft Azure (Azure). We cannot easily switch our AWS, GCE or Azure operations to another cloud provider. Any disruption of or interference with our use of these cloud services would impact our operations and our business could be adversely impacted.</w:t>
      </w:r>
    </w:p>
    <w:p>
      <w:pPr>
        <w:spacing w:after="0" w:line="1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1E1E1E"/>
        </w:rPr>
        <w:t>Problems faced by our third-party cloud service providers with the telecommunications network providers with whom we or they contract or with the systems by which our telecommunications providers allocate capacity among their customers, including us, could adversely affect the experience of our end customers. If AWS, GCP or Azure are unable to keep up with our needs for capacity, this could have an adverse effect on our business. Any changes in third-party cloud services or any errors, defects, disruptions or other performance problems with our cloud-based applications, could adversely affect our reputation and may damage our end customers’ stored files or result in lengthy interruptions in our services. Interruptions in our services might adversely affect our reputation and operating results, cause us to issue refunds or service credits, subject us to potential liabilities or result in contract terminations.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business depends on effective management information systems.</w:t>
      </w:r>
    </w:p>
    <w:p>
      <w:pPr>
        <w:spacing w:after="0" w:line="11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1E1E1E"/>
        </w:rPr>
        <w:t>We rely on effective management information systems for critical business operations, to support strategic business decisions and to maintain a competitive edge in the marketplace. We rely on our ERP system to support critical business operations such as processing sales orders and invoicing, manufacturing, shipping, inventory control, purchasing and supply chain management, human resources and financial reporting. In connection with the sale of the CCS segment that occurred subsequent to year end on January 9, 2026, we have initiated a phased approach to prepare for the transition and future separation of our ERP system and other supporting systems. The first phase involving the upgrade of our ERP system has been successfully completed. Upgrades, integrations or separations of software or systems have risks and any future upgrades, integrations or separations could disrupt our operations, divert management’s attention and have an adverse effect on our capital resources, financial condition, results of operations or cash flows.</w:t>
      </w:r>
    </w:p>
    <w:p>
      <w:pPr>
        <w:spacing w:after="0" w:line="202"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20"/>
          <w:szCs w:val="20"/>
          <w:color w:val="1E1E1E"/>
        </w:rPr>
        <w:t>We also rely on management information systems to produce information for business decision-making and planning and to support digital platforms. Failure to maintain an adequate digital platform or to make additional investment in our digital platform to support e-commerce activities and improve our customer experience could have a material adverse impact on our business through lost sales opportunities.</w:t>
      </w:r>
    </w:p>
    <w:p>
      <w:pPr>
        <w:spacing w:after="0" w:line="190"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20"/>
          <w:szCs w:val="20"/>
          <w:color w:val="1E1E1E"/>
        </w:rPr>
        <w:t>Many of our systems rely on software and other products provided by third-parties. Any outages or downtime of such third-party software, including due to defective updates, could have a material adverse impact on our business operations and results of operations.</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1E1E1E"/>
        </w:rPr>
        <w:t>If we are unable to maintain our management information systems, including our IT infrastructure, to support critical business operations, produce information for business decision-making activities and support digital customer experience activities, we could experience a material adverse impact on our business or an inability to timely and accurately report our financial results.</w:t>
      </w:r>
    </w:p>
    <w:p>
      <w:pPr>
        <w:sectPr>
          <w:pgSz w:w="11880" w:h="15480" w:orient="portrait"/>
          <w:cols w:equalWidth="0" w:num="1">
            <w:col w:w="10740"/>
          </w:cols>
          <w:pgMar w:left="540" w:top="124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25</w:t>
      </w:r>
    </w:p>
    <w:p>
      <w:pPr>
        <w:sectPr>
          <w:pgSz w:w="11880" w:h="15480" w:orient="portrait"/>
          <w:cols w:equalWidth="0" w:num="1">
            <w:col w:w="10740"/>
          </w:cols>
          <w:pgMar w:left="540" w:top="1240" w:right="600" w:bottom="0" w:gutter="0" w:footer="0" w:header="0"/>
          <w:type w:val="continuous"/>
        </w:sectPr>
      </w:pPr>
    </w:p>
    <w:bookmarkStart w:id="35" w:name="page36"/>
    <w:bookmarkEnd w:id="35"/>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Cybersecurity incidents, including data security breaches, ransomware or malware, could harm our business by exposing us to various liabilities and lost revenue, disrupting our delivery of products and services and damaging our reputation.</w:t>
      </w:r>
    </w:p>
    <w:p>
      <w:pPr>
        <w:spacing w:after="0" w:line="4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1E1E1E"/>
        </w:rPr>
        <w:t>We rely extensively on our information technology systems and those of third parties to operate our business and store proprietary information about our products and intellectual property. Additionally, we and others acting on our behalf receive, process, store and transmit confidential data, including “personally identifiable information,” with respect to employees, vendors, customers and others. As cybersecurity incidents evolve, particularly given the increased use of artificial intelligence by threat actors to perpetuate cyberattacks, information technology systems like ours are increasingly vulnerable. Despite the security controls we have put in place, our facilities, systems and procedures, and those of our third-party service providers, are still at risk of security breaches, acts of vandalism, malware, ransomware, software viruses, misplaced or lost data, programming and/or human errors, phishing attempts, brute force attacks, exploiting software vulnerabilities (including “zero-day attacks”), supply chain attacks or other similar events. In particular, unauthorized access to our computer systems or stored data could result in the theft or improper disclosure of proprietary, confidential, sensitive or personal information, the deletion or modification of records or interruptions in our operations. These cybersecurity risks increase when we transmit information from one location to another, including transmissions over the Internet or other electronic networks. Any future significant compromise or breach of our data security, whether external or internal, or misuse of employee, vendor, customer, or Company data, could result in significant costs, lost sales, fines (which fines may not be covered by the Company’s insurance policies), lawsuits or regulatory scrutiny, lost customers and damage to our reputation. The use of artificial intelligence (AI) and generative AI technologies, both internally and through third-party providers, may create new cybersecurity risks or exacerbate existing ones, including the risk of cybersecurity incidents, data breaches or unauthorized access to sensitive information. These risks may be difficult to anticipate or detect and could result in significant business, legal or reputational harm. We employ a variety of security controls and countermeasures designed to mitigate these risks, but we cannot guarantee that all attacks can be successfully thwarted by these measures as the sophistication of attacks increases. As cyber threats continue to evolve, we may be required to expend additional resources to mitigate new and emerging threats while continuing to enhance our information security capabilities or to investigate and remediate security vulnerabilities.</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In addition, vulnerabilities in some of the hardware or software we develop and sell, including in our engineering or in their implementation by our customers, could result in unauthorized access to our customers’ and/or consumers’ networks. Such unauthorized access could result in third parties gaining access to the private and personal information and technology of our customers, such as home health information, home cameras or other personal information or technology. Any such events could result in theft of personal information, trade secrets and intellectual property; give rise to legal proceedings or regulatory scrutiny; cause us to incur increased costs for insurance premiums, security, remediation and regulatory compliance; subject us to civil and criminal penalties (which criminal penalties may not be covered by our insurance policies); expose us to liabilities to our customers, employees, vendors, governmental authorities or other third parties; allow others to unfairly compete with us; disrupt our delivery of products and services; expose the confidential information of our customers and others; and have a negative impact on our reputation, all of which could have a material adverse effect on our business, financial condition, results of operations, cash flows and stock price.</w:t>
      </w:r>
    </w:p>
    <w:p>
      <w:pPr>
        <w:spacing w:after="0" w:line="20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1E1E1E"/>
        </w:rPr>
        <w:t>Furthermore, certain of our third-party relationships are subject to our vendor management program and are governed by written contracts that contain requirements relating to information security. We impose requirements on our counterparties, including vendors and other third parties, to comply with applicable privacy and cybersecurity laws related to the use and security of sensitive or personal information. We cannot provide assurances that these contractual requirements will be followed or will be adequate to prevent the misuse of this data. We have designed our risk identification, assessment and management processes and procedures to account for cybersecurity risks associated with our use of third-party service providers. However, we do not control the actions of our associated third parties, and any disruptions in their services caused by cybersecurity attacks and/or security incidents could adversely affect our ability to service our customers or otherwise conduct our business and expose us to the consequences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Climate change may have an impact on our business.</w:t>
      </w:r>
    </w:p>
    <w:p>
      <w:pPr>
        <w:spacing w:after="0" w:line="11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1E1E1E"/>
        </w:rPr>
        <w:t>There are inherent climate change risks wherever business is conducted. The potential physical impacts of climate change on our operations are highly uncertain and would be particular to the geographic areas in which we operate. These may include changes in rainfall and storm patterns and intensities, water shortages, changing sea levels and changing temperatures. These impacts may adversely impact the cost, production levels and financial performance of our operations. Climate-related events, including the increasing frequency and intensity of extreme weather events and their impact on critical infrastructure in the regions in which we operate, have the potential to disrupt our business, our third-party suppliers, and/or the business of our customers and may cause us to experience higher attrition, losses and additional costs to maintain or resume operations.</w:t>
      </w:r>
    </w:p>
    <w:p>
      <w:pPr>
        <w:spacing w:after="0" w:line="215" w:lineRule="exact"/>
        <w:rPr>
          <w:sz w:val="20"/>
          <w:szCs w:val="20"/>
          <w:color w:val="auto"/>
        </w:rPr>
      </w:pPr>
    </w:p>
    <w:p>
      <w:pPr>
        <w:ind w:right="400"/>
        <w:spacing w:after="0" w:line="256" w:lineRule="exact"/>
        <w:rPr>
          <w:sz w:val="20"/>
          <w:szCs w:val="20"/>
          <w:color w:val="auto"/>
        </w:rPr>
      </w:pPr>
      <w:r>
        <w:rPr>
          <w:rFonts w:ascii="Times New Roman" w:cs="Times New Roman" w:eastAsia="Times New Roman" w:hAnsi="Times New Roman"/>
          <w:sz w:val="20"/>
          <w:szCs w:val="20"/>
          <w:color w:val="1E1E1E"/>
        </w:rPr>
        <w:t>We are subject to climate</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related transition risks. Changing customer preferences and market trends toward lower carbon, energy efficient, and more sustainable products may affect demand for our existing product portfolio. Customers may increasingly favor</w:t>
      </w:r>
    </w:p>
    <w:p>
      <w:pPr>
        <w:sectPr>
          <w:pgSz w:w="11880" w:h="15480" w:orient="portrait"/>
          <w:cols w:equalWidth="0" w:num="1">
            <w:col w:w="10780"/>
          </w:cols>
          <w:pgMar w:left="540" w:top="1240" w:right="56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26</w:t>
      </w:r>
    </w:p>
    <w:p>
      <w:pPr>
        <w:sectPr>
          <w:pgSz w:w="11880" w:h="15480" w:orient="portrait"/>
          <w:cols w:equalWidth="0" w:num="1">
            <w:col w:w="10780"/>
          </w:cols>
          <w:pgMar w:left="540" w:top="1240" w:right="560" w:bottom="0" w:gutter="0" w:footer="0" w:header="0"/>
          <w:type w:val="continuous"/>
        </w:sectPr>
      </w:pPr>
    </w:p>
    <w:bookmarkStart w:id="36" w:name="page37"/>
    <w:bookmarkEnd w:id="36"/>
    <w:p>
      <w:pPr>
        <w:spacing w:after="0" w:line="230" w:lineRule="exact"/>
        <w:rPr>
          <w:sz w:val="20"/>
          <w:szCs w:val="20"/>
          <w:color w:val="auto"/>
        </w:rPr>
      </w:pPr>
      <w:r>
        <w:rPr>
          <w:rFonts w:ascii="Times New Roman" w:cs="Times New Roman" w:eastAsia="Times New Roman" w:hAnsi="Times New Roman"/>
          <w:sz w:val="20"/>
          <w:szCs w:val="20"/>
          <w:color w:val="1E1E1E"/>
        </w:rPr>
        <w:t>suppliers that support emissions</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reduction, energy</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efficiency, and sustainability objectives. If we are unable to adapt our products,</w:t>
      </w:r>
    </w:p>
    <w:p>
      <w:pPr>
        <w:spacing w:after="0" w:line="1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1E1E1E"/>
        </w:rPr>
        <w:t>services or technologies to align with these evolving expectations, we may experience reduced demand, loss of market share, or pricing pressure. Addressing these transition risks may require increased investments in research and development, product redesign, and operational initiatives, which could increase costs.</w:t>
      </w:r>
    </w:p>
    <w:p>
      <w:pPr>
        <w:spacing w:after="0" w:line="185"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1E1E1E"/>
        </w:rPr>
        <w:t xml:space="preserve">We align with the Sustainability Accounting Standards Board (SASB) standards, Global Reporting Initiative (GRI) standards and makes use of the Carbon Disclosure Project (CDP) platform, which is committed to aligning with the Task Force on Climate Related Financial Disclosures (TCFD) recommendations to accurately assess, take potential proactive action and report as appropriate. For additional information, which is not incorporated by reference in this Annual Report on Form 10-K, see our Sustainability report on our website: </w:t>
      </w:r>
      <w:r>
        <w:rPr>
          <w:rFonts w:ascii="Times New Roman" w:cs="Times New Roman" w:eastAsia="Times New Roman" w:hAnsi="Times New Roman"/>
          <w:sz w:val="20"/>
          <w:szCs w:val="20"/>
          <w:u w:val="single" w:color="auto"/>
          <w:color w:val="1E1E1E"/>
        </w:rPr>
        <w:t>https://www.vistancenetworks.com/corporate-responsibility-and-sustainability/</w:t>
      </w:r>
      <w:r>
        <w:rPr>
          <w:rFonts w:ascii="Times New Roman" w:cs="Times New Roman" w:eastAsia="Times New Roman" w:hAnsi="Times New Roman"/>
          <w:sz w:val="20"/>
          <w:szCs w:val="20"/>
          <w:color w:val="1E1E1E"/>
        </w:rPr>
        <w: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Labor-Related Risks</w:t>
      </w:r>
    </w:p>
    <w:p>
      <w:pPr>
        <w:spacing w:after="0" w:line="1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Failure to attract, develop and maintain a highly skilled and diverse workforce or effectively manage changes in our workforce can have an adverse effect on our business.</w:t>
      </w:r>
    </w:p>
    <w:p>
      <w:pPr>
        <w:spacing w:after="0" w:line="4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1E1E1E"/>
        </w:rPr>
        <w:t>Our business requires that we attract, develop and maintain a highly skilled and diverse workforce. Our employees are highly sought after by our competitors and other companies and our continued ability to compete effectively depends on our ability to attract, retain, develop and motivate highly skilled personnel for all areas of our organization. Our ability to do so has been and may continue to be impacted by challenges in the labor market, which has experienced and may continue to experience wage inflation, labor shortages, increased employee turnover, changes in availability of our workforce and a shift toward remote work. Any unplanned turnover, sustained labor shortage or unsuccessful implementation of our succession plans to backfill current leadership positions, including the Chief Executive Officer, or failure to attract, develop and maintain a highly skilled and diverse workforce can deplete our institutional knowledge base, erode our competitive advantage or result in increased costs due to increased competition for employees, higher employee turnover or increased employee benefit costs, all of which could adversely affect our business, financial condition and results of operations.</w:t>
      </w:r>
    </w:p>
    <w:p>
      <w:pPr>
        <w:spacing w:after="0" w:line="323" w:lineRule="exact"/>
        <w:rPr>
          <w:sz w:val="20"/>
          <w:szCs w:val="20"/>
          <w:color w:val="auto"/>
        </w:rPr>
      </w:pPr>
    </w:p>
    <w:p>
      <w:pPr>
        <w:ind w:right="8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Disruptions in labor, including strikes or work stoppages, could have a material adverse effect on our business, results of operations and financial condition.</w:t>
      </w:r>
    </w:p>
    <w:p>
      <w:pPr>
        <w:spacing w:after="0" w:line="4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1E1E1E"/>
        </w:rPr>
        <w:t>We have experienced and could continue to experience disruption in our manufacturing operations and supply chain, including labor shortages or changes in the availability of our or our business partners’ workforce, strikes or work stoppages (including by third parties involved in the manufacture, production and distribution of our products). Although none of our U.S. employees are represented by unions, a significant portion of our international employees are members of unions or subject to works councils or similar statutory arrangements. Strikes or work stoppages or other business interruptions have occurred and may occur in the future if we or the third parties that are involved in the manufacturing, production and distribution of our products are unable to renew or enter into new agreements on satisfactory terms. This can impair the manufacturing and distribution of our products, interrupt product supply, lead to a loss of sales, increase our costs or otherwise affect our ability to fully implement future operational changes to enhance our efficiency or to adapt to changing business needs or strategy, all of which can adversely affect our business.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International Risks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international operations expose us to economic, political, foreign exchange rate and other risks.</w:t>
      </w:r>
    </w:p>
    <w:p>
      <w:pPr>
        <w:spacing w:after="0" w:line="11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1E1E1E"/>
        </w:rPr>
        <w:t>We have international sales and an international manufacturing operation. Our major international manufacturing facility is located in Mexico, and our international sales are primarily in Canada, Mexico, and throughout the Europe, Middle East and Africa region and Asia Pacific region. For the year ended December 31, 2025, international sales represented 28.5% of our consolidated net sales. In general, our international sales have lower gross profit percentages than our domestic sales. To the extent international sales increase as a percentage of our net sales, our overall gross profit percentages may decline.</w:t>
      </w:r>
    </w:p>
    <w:p>
      <w:pPr>
        <w:sectPr>
          <w:pgSz w:w="11880" w:h="15480" w:orient="portrait"/>
          <w:cols w:equalWidth="0" w:num="1">
            <w:col w:w="10800"/>
          </w:cols>
          <w:pgMar w:left="540" w:top="12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27</w:t>
      </w:r>
    </w:p>
    <w:p>
      <w:pPr>
        <w:sectPr>
          <w:pgSz w:w="11880" w:h="15480" w:orient="portrait"/>
          <w:cols w:equalWidth="0" w:num="1">
            <w:col w:w="10800"/>
          </w:cols>
          <w:pgMar w:left="540" w:top="1253" w:right="540" w:bottom="0" w:gutter="0" w:footer="0" w:header="0"/>
          <w:type w:val="continuous"/>
        </w:sectPr>
      </w:pPr>
    </w:p>
    <w:bookmarkStart w:id="37" w:name="page38"/>
    <w:bookmarkEnd w:id="37"/>
    <w:p>
      <w:pPr>
        <w:spacing w:after="0" w:line="243" w:lineRule="auto"/>
        <w:rPr>
          <w:sz w:val="20"/>
          <w:szCs w:val="20"/>
          <w:color w:val="auto"/>
        </w:rPr>
      </w:pPr>
      <w:r>
        <w:rPr>
          <w:rFonts w:ascii="Times New Roman" w:cs="Times New Roman" w:eastAsia="Times New Roman" w:hAnsi="Times New Roman"/>
          <w:sz w:val="20"/>
          <w:szCs w:val="20"/>
          <w:color w:val="1E1E1E"/>
        </w:rPr>
        <w:t>Our international sales and manufacturing operation are subject to the risks inherent in operating abroad, including, but not limited to, coordinating communications among and managing international operations; currency exchange rate fluctuations; economic and political destabilization; restrictive actions by foreign governments; price inflation; volatile interest rates; wage inflation; nationalization of businesses and expropriation of assets; the laws and policies of the U.S. and other countries affecting trade and tariffs, including additional tariffs implemented or proposed by the new administration (and counter tariffs from other countries that may be implemented in response): anti-bribery, foreign investment and loans; foreign tax laws, including the ability to recover amounts paid as value-added and similar taxes; potential restrictions on the repatriation of cash; reduced protection of intellectual property; longer customer payment cycles; compliance with local laws and regulations, including the imposition of new data privacy and climate change regulations; volatile geopolitical turmoil, including popular uprisings, regional conflicts, terrorism, and war; shipping interruptions, including shortages of containers or port congestion; major public health or safety concerns, such as pandemics and infectious diseases; natural or man-made disasters; inflexible labor contracts or labor laws in the event of business downturns; and economic boycott for doing business in certain countries. Although we maintain insurance coverage for certain types of losses, such insurance coverage may be insufficient to cover all losses that may arise.</w:t>
      </w:r>
    </w:p>
    <w:p>
      <w:pPr>
        <w:spacing w:after="0" w:line="20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A portion of our products sold in the U.S. are manufactured outside the U.S. To the extent there are changes in U.S. trade policies, which have been implemented and/or proposed by the new administration, such as significant increases in tariffs or duties for goods brought into the U.S., our competitive position may be adversely impacted and the resulting effect on our earnings could be material. For a more complete discussion of our risks related to trade policies, see the risk factor, “Additional tariffs or a global trade war could increase the cost of our products, which could adversely impact the competitiveness of our products” under “International Risks” in this Item 1A, Risk Factors section.</w:t>
      </w:r>
    </w:p>
    <w:p>
      <w:pPr>
        <w:spacing w:after="0" w:line="20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1E1E1E"/>
        </w:rPr>
        <w:t>Risks related to fluctuations in foreign currency rates has impacted in the past and could continue to impact our sales, financial condition, results of operations and cash flows. Our foreign currency risk exposure is mainly concentrated in Chinese yuan, European Union (E.U.) euro, British pound sterling, Mexican peso, Japanese yen, Canadian dollar, Australian dollar, Brazilian real, South African rand, Indian rupee and Czech koruna. We manage our foreign currency rate risks through regular operating and financing activities and use derivative financial instruments such as foreign exchange forward contracts. There can be no assurance that our risk management strategies will be effective or that the counterparties to our derivative contracts will be able to perform. In addition, foreign currency rates in many of the countries in which we operate have at times been extremely volatile and unpredictable. We may choose not to hedge or determine we are unable to effectively hedge the risks associated with this volatility. In such cases, we may experience declines in sales and adverse impacts on earnings and such changes could be material.</w:t>
      </w:r>
    </w:p>
    <w:p>
      <w:pPr>
        <w:spacing w:after="0" w:line="207" w:lineRule="exact"/>
        <w:rPr>
          <w:sz w:val="20"/>
          <w:szCs w:val="20"/>
          <w:color w:val="auto"/>
        </w:rPr>
      </w:pPr>
    </w:p>
    <w:p>
      <w:pPr>
        <w:ind w:right="9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Additional or new tariffs or a global trade war could increase the cost of our products, which could adversely impact the competitiveness of our products.</w:t>
      </w:r>
    </w:p>
    <w:p>
      <w:pPr>
        <w:spacing w:after="0" w:line="46"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color w:val="1E1E1E"/>
        </w:rPr>
        <w:t>There is uncertainty about the future relationship between the U.S. and various other countries, most significantly Mexico, with respect to trade policies and tariffs. The current U.S. administration has implemented and/or proposed substantial changes to U.S. foreign trade policy with respect to other countries, including imposing greater restrictions on international trade and significant increases in tariffs on goods imported into the U.S, but there remains uncertainty surrounding when all such changes may be implemented and the magnitude and duration of their impacts.</w:t>
      </w:r>
    </w:p>
    <w:p>
      <w:pPr>
        <w:spacing w:after="0" w:line="19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This uncertainty about the future relationship between the U.S. and certain of its trading partners may reduce trade between the U.S. and other nations, including countries in which we currently operate, or result in a global economic slowdown with long-term changes to global trade. Changes in policy or continued uncertainty could depress economic activity and restrict our access to suppliers or customers. The tariffs implemented on our products (or on materials, parts or components we use to manufacture our products) by past U.S. administrations increased the cost of our products manufactured in the U.S. and imported into the U.S. If additional tariffs or trade restrictions are implemented on our products (or on materials, parts or components we use to manufacture our products) by the U.S. or other countries, the cost of our products manufactured in Mexico and imported into the U.S. or other countries could increase further. We expect to continue to pass along some of these costs to our customers, but the increased cost could adversely affect the demand for products. We have been successful in the past in shifting the manufacturing locations for some of the impacted products, but this takes time and results in additional one-time costs and these alternative locations may have higher ongoing manufacturing costs. These cost increases could adversely affect the demand for our products and/or reduce margins, which could have a material adverse effect on our business and our earnings. Any or all of these factors could negatively affect demand for our products and our business, financial condition, results of operations and cash flows, and such effects could be material.</w:t>
      </w:r>
    </w:p>
    <w:p>
      <w:pPr>
        <w:sectPr>
          <w:pgSz w:w="11880" w:h="15480" w:orient="portrait"/>
          <w:cols w:equalWidth="0" w:num="1">
            <w:col w:w="10780"/>
          </w:cols>
          <w:pgMar w:left="540" w:top="123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28</w:t>
      </w:r>
    </w:p>
    <w:p>
      <w:pPr>
        <w:sectPr>
          <w:pgSz w:w="11880" w:h="15480" w:orient="portrait"/>
          <w:cols w:equalWidth="0" w:num="1">
            <w:col w:w="10780"/>
          </w:cols>
          <w:pgMar w:left="540" w:top="1238" w:right="56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1E1E1E"/>
        </w:rPr>
        <w:t>Our international operations expose us to increased challenges in complying with anti-corruption laws and regulations of the U.S.</w:t>
      </w:r>
    </w:p>
    <w:p>
      <w:pPr>
        <w:spacing w:after="0"/>
        <w:rPr>
          <w:sz w:val="20"/>
          <w:szCs w:val="20"/>
          <w:color w:val="auto"/>
        </w:rPr>
      </w:pPr>
      <w:r>
        <w:rPr>
          <w:rFonts w:ascii="Times New Roman" w:cs="Times New Roman" w:eastAsia="Times New Roman" w:hAnsi="Times New Roman"/>
          <w:sz w:val="20"/>
          <w:szCs w:val="20"/>
          <w:b w:val="1"/>
          <w:bCs w:val="1"/>
          <w:i w:val="1"/>
          <w:iCs w:val="1"/>
          <w:color w:val="1E1E1E"/>
        </w:rPr>
        <w:t>government and various other international jurisdictions.</w:t>
      </w:r>
    </w:p>
    <w:p>
      <w:pPr>
        <w:spacing w:after="0" w:line="11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We are required to comply with the anti-corruption laws and regulations of the U.S. government and various other international jurisdictions, such as the U.S. Foreign Corrupt Practices Act and the U.K. Bribery Act, and our failure to comply with these laws and regulations may expose us to significant liabilities. These laws and regulations may apply to companies, individual directors, officers, employees and agents, and may restrict our operations, trade practices, investment decisions and partnering activities. Violations of these legal requirements are punishable by significant criminal fines and imprisonment, civil penalties, disgorgement of profits, injunctions, debarment from government contracts and other remedial measures. We have established policies, procedures and internal controls designed to assist us and our personnel in complying with applicable U.S. and international anti-corruption laws and regulations. However, our employees, subcontractors or channel partners could take actions that violate these requirements. In addition, some of the international jurisdictions in which we operate have elevated levels of corruption. As a result, we are exposed to an increased risk of violating anti-corruption laws. Violation of anti-corruption laws could adversely affect our reputation, business, financial condition, results of operations and cash flows, and such effects could be material.</w:t>
      </w:r>
    </w:p>
    <w:p>
      <w:pPr>
        <w:spacing w:after="0" w:line="210"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are subject to governmental export and import controls and sanctions programs that could subject us to liability or impair our ability to compete in international markets.</w:t>
      </w:r>
    </w:p>
    <w:p>
      <w:pPr>
        <w:spacing w:after="0" w:line="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Certain of our products, including purchased components of such products, are subject to export controls and may be exported only with the required export license or through an export license exemption. In addition, we are required to comply with certain U.S. and foreign import and customs rules, sanctions and embargos such as the U.S. enacted Uyghur Forced Labor Prevention Act (UFLPA) that became effective in 2022. Although we believe the risk of a UFLPA enforcement action against the Company is low at this time, we will continue to monitor the ongoing potential impact as the Customs and Border Protection guidance will continue to evolve. If we were to fail to comply with applicable export licensing, customs regulations, economic sanctions and other laws, we could be subject to substantial civil and criminal penalties, including fines, the incarceration of responsible employees and managers and the possible loss of export or import privileges. In addition, if our distributors fail to obtain appropriate import, export or re-export licenses or permits, we may also be adversely affected through reputational harm and penalties. Obtaining the necessary export license for a particular sale may be time-consuming and may result in a delay or loss of sales opportunities.</w:t>
      </w:r>
    </w:p>
    <w:p>
      <w:pPr>
        <w:spacing w:after="0" w:line="202"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1E1E1E"/>
        </w:rPr>
        <w:t>Furthermore, export control laws and economic sanctions prohibit the shipment of certain products to embargoed or sanctioned countries, governments and persons. While we train our employees to comply with these regulations and have systems in place designed to prevent compliance failures, we cannot assure you that a violation will not occur, whether knowingly or inadvertently. Any such shipment could have negative consequences, including government investigations, penalties, fines, civil and criminal sanctions and reputational harm.</w:t>
      </w:r>
    </w:p>
    <w:p>
      <w:pPr>
        <w:spacing w:after="0" w:line="19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Any change in export or import regulations, economic sanctions or related legislation, shift in the enforcement or scope of existing regulations or change in the countries, governments, persons or technologies targeted by such regulations could result in our decreased ability to export, import or sell our products to existing or potential customers, particularly those with international operations. Any limitation on our ability to export, import or sell our products could adversely affect our business, financial condition, results of operations and cash flows, and such effects could be material.</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Litigation and Regulatory Risks</w:t>
      </w:r>
    </w:p>
    <w:p>
      <w:pPr>
        <w:spacing w:after="0" w:line="125"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may not be successful in protecting our intellectual property and in defending against claims that we are infringing on the intellectual property of others, and any such actions may be costly.</w:t>
      </w:r>
    </w:p>
    <w:p>
      <w:pPr>
        <w:spacing w:after="0" w:line="4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We may encounter difficulties and significant costs in protecting our intellectual property rights or obtaining rights to additional intellectual property to permit us to continue or expand our business. Other companies, including some of our largest competitors, hold intellectual property rights in our industry, and the intellectual property rights of others could inhibit our ability to introduce new products unless we secure necessary licenses on commercially reasonable terms.</w:t>
      </w:r>
    </w:p>
    <w:p>
      <w:pPr>
        <w:sectPr>
          <w:pgSz w:w="11880" w:h="15480" w:orient="portrait"/>
          <w:cols w:equalWidth="0" w:num="1">
            <w:col w:w="10780"/>
          </w:cols>
          <w:pgMar w:left="540" w:top="124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29</w:t>
      </w:r>
    </w:p>
    <w:p>
      <w:pPr>
        <w:sectPr>
          <w:pgSz w:w="11880" w:h="15480" w:orient="portrait"/>
          <w:cols w:equalWidth="0" w:num="1">
            <w:col w:w="10780"/>
          </w:cols>
          <w:pgMar w:left="540" w:top="1240" w:right="560" w:bottom="0" w:gutter="0" w:footer="0" w:header="0"/>
          <w:type w:val="continuous"/>
        </w:sectPr>
      </w:pPr>
    </w:p>
    <w:bookmarkStart w:id="39" w:name="page40"/>
    <w:bookmarkEnd w:id="39"/>
    <w:p>
      <w:pPr>
        <w:ind w:right="20"/>
        <w:spacing w:after="0" w:line="245" w:lineRule="auto"/>
        <w:rPr>
          <w:sz w:val="20"/>
          <w:szCs w:val="20"/>
          <w:color w:val="auto"/>
        </w:rPr>
      </w:pPr>
      <w:r>
        <w:rPr>
          <w:rFonts w:ascii="Times New Roman" w:cs="Times New Roman" w:eastAsia="Times New Roman" w:hAnsi="Times New Roman"/>
          <w:sz w:val="20"/>
          <w:szCs w:val="20"/>
          <w:color w:val="1E1E1E"/>
        </w:rPr>
        <w:t>In the past, we have initiated litigation in order to enforce patents issued or licensed to us or to determine the scope and/or validity of a third-party’s patent or other proprietary rights, and we may initiate similar litigation in the future. We also have been and may in the future be subject to lawsuits by third parties seeking to enforce their own intellectual property rights, including against certain of the products or intellectual property that we have acquired through acquisitions. Any such litigation, regardless of outcome, could be costly and could subject us to significant liabilities or require us to cease using proprietary third-party technology. In addition, the payment of any damages or any necessary licensing fees or indemnification costs associated with a patent infringement claim could be material and could also materially adversely affect our cash flows and operating results. Such litigation can also be a significant distraction to management.</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1E1E1E"/>
        </w:rPr>
        <w:t>In certain markets, we may be required to address counterfeit versions of our products. We may incur significant costs in pursuing the originators of such counterfeit products and, if we are unsuccessful in eliminating them from the market, we may experience a reduction in the value of our products, harm to our reputation and/or a reduction in our net sales.</w:t>
      </w:r>
    </w:p>
    <w:p>
      <w:pPr>
        <w:spacing w:after="0" w:line="187"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Because of the nature of information that may pass through or be stored on certain of our solutions or networks, we, our vendors and our end customers are subject to complex and evolving U.S. and foreign laws and regulations regarding information privacy, data protection, cybersecurity and other related matters.</w:t>
      </w:r>
    </w:p>
    <w:p>
      <w:pPr>
        <w:spacing w:after="0" w:line="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Globally, there has been an increase in laws and regulatory action concerning privacy-related matters. Generally, these laws create rights for individuals in their personal data as well as impose obligations on businesses regarding the handling of such personal data, including data of employees, consumers and business contacts. Several U.S. states are considering or have adopted legislation requiring companies to disclose the collection of personal data, protect the security of personal information that they hold or respond to individuals’ rights regarding their personal data. For example, the California Consumer Privacy Act (CCPA), which went into effect on January 1, 2020, subjects us to stricter obligations, greater fines and more private causes of action related to data security. There are now approximately 20 states that have enacted comprehensive data privacy laws. Many jurisdictions have also enacted or are enacting laws requiring companies to notify regulators or individuals of data security incidents involving certain types of personal data, including the rule issued by the U.S. Securities and Exchange Commission in the U.S. that requires public disclosure of material security incidents. These mandatory disclosures regarding security incidents often lead to widespread negative publicity. Any security incident, whether actual or perceived, could harm our reputation, erode customer confidence in the effectiveness of our data security measures, lead to lost revenue and/or increased expenses, negatively impact our ability to attract or retain customers, or subject us to third-party lawsuits, regulatory fines or other action or liability, which may not be covered by our insurance policies, and which could materially and adversely affect our business and operating results.</w:t>
      </w:r>
    </w:p>
    <w:p>
      <w:pPr>
        <w:spacing w:after="0" w:line="20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1E1E1E"/>
        </w:rPr>
        <w:t>Foreign data protection, privacy and other laws and regulations can be more restrictive than those in the U.S. For example, the E.U.’s General Data Protection Regulation (GDPR) has required changes to products and service offerings, internal and external software systems, including our websites, and changes to many company processes and policies, as well as additional legal considerations for personal data transfers out of the E.U. Additionally, these rulings require companies like ours to assess their personal data transfers from the E.U. to determine whether the protections in the U.S. or any country without an adequacy determination meet E.U. standards in the context of the specific transfer. A European data protection authority could disagree with our assessment of such transfers, resulting in penalties or required changes in how we transfer data within our company.</w:t>
      </w:r>
    </w:p>
    <w:p>
      <w:pPr>
        <w:spacing w:after="0" w:line="20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1E1E1E"/>
        </w:rPr>
        <w:t>These U.S. federal and state and foreign laws and regulations, which often can be enforced by private parties or government entities, are constantly evolving. In addition, the application and interpretation of these laws and regulations are often uncertain, may be interpreted and applied inconsistently from jurisdiction to jurisdiction and may be contradictory with each other. For example, a government entity in one jurisdiction may demand the transfer of information forbidden from transfer by a government entity in another jurisdiction. If our actions were determined to be in violation of any of these disparate laws and regulations, in addition to the possibility of fines, we could be ordered to change our data practices, which could have an adverse effect on our business and results of operations and financial condition. There is also a risk that we, directly or as the result of a third-party service provider we use, could be found to have failed to comply with the laws or regulations applicable in a jurisdiction regarding the collection, handling, transfer, disposal or consent to the use of personal data, which could subject us to fines or other sanctions, as well as adverse reputational impact.</w:t>
      </w:r>
    </w:p>
    <w:p>
      <w:pPr>
        <w:spacing w:after="0" w:line="20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1E1E1E"/>
        </w:rPr>
        <w:t>Some states and countries are considering or have introduced laws and regulations requiring minimum or particular security controls be incorporated into devices that connect to the internet (so called “Internet of Things Security laws”). Where products we manufacture are considered in scope for some of these laws and regulations, compliance obligations or customer contracts may necessitate modification of existing product features and specifications or make inventory obsolete. Inconsistencies in these laws can introduce complexity into our design, manufacturing and inventory management processes.</w:t>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30</w:t>
      </w:r>
    </w:p>
    <w:p>
      <w:pPr>
        <w:sectPr>
          <w:pgSz w:w="11880" w:h="15480" w:orient="portrait"/>
          <w:cols w:equalWidth="0" w:num="1">
            <w:col w:w="10800"/>
          </w:cols>
          <w:pgMar w:left="540" w:top="1238" w:right="540" w:bottom="0" w:gutter="0" w:footer="0" w:header="0"/>
          <w:type w:val="continuous"/>
        </w:sectPr>
      </w:pPr>
    </w:p>
    <w:bookmarkStart w:id="40" w:name="page41"/>
    <w:bookmarkEnd w:id="40"/>
    <w:p>
      <w:pPr>
        <w:spacing w:after="0" w:line="242" w:lineRule="auto"/>
        <w:rPr>
          <w:sz w:val="20"/>
          <w:szCs w:val="20"/>
          <w:color w:val="auto"/>
        </w:rPr>
      </w:pPr>
      <w:r>
        <w:rPr>
          <w:rFonts w:ascii="Times New Roman" w:cs="Times New Roman" w:eastAsia="Times New Roman" w:hAnsi="Times New Roman"/>
          <w:sz w:val="20"/>
          <w:szCs w:val="20"/>
          <w:color w:val="1E1E1E"/>
        </w:rPr>
        <w:t>Compliance with these existing and proposed laws and regulations can be costly and require significant management time and attention, and failure to comply can result in negative publicity and subject us to inquiries or investigations, claims or other remedies, including fines or demands that we modify or cease existing business practices. Customers may demand or request additional functionality in our products or services that they believe are necessary or appropriate to comply with such laws and regulations, which can cause us to incur significant additional costs and can delay or impede the development of new solutions. In addition, there is a risk that failures in systems designed to protect private, personal or proprietary data held by us or our customers using our solutions will allow such data to be disclosed to or seen by others, resulting in application of regulatory penalties, enforcement actions, remediation obligations, private litigation by parties whose data was improperly disclosed or claims from our customers for costs or damages they incur. There can be no assurance that the limitations of liability in our contracts would be enforceable or adequate or would otherwise protect us from any such liabilities or damages with respect to any particular claim. Our existing general liability insurance coverage and coverage for errors and omissions may not continue to be available on acceptable terms or may not be available in sufficient amounts to cover one or more large claims, or our insurers may deny coverage as to any future claim. The successful assertion of one or more large claims against us that exceeds available insurance coverage, or changes in our insurance policies, including premium increases or the imposition of large deductible or co-insurance requirements, could have a material adverse effect on our business, financial condition, results of operations and cash flow.</w:t>
      </w:r>
    </w:p>
    <w:p>
      <w:pPr>
        <w:spacing w:after="0" w:line="213"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Compliance with current and future social and environmental laws, regulations, policies and provisions, customer and investor pressures, other efforts to mitigate climate change and potential environmental liabilities may have a material adverse impact on our business, financial condition and results of operations.</w:t>
      </w:r>
    </w:p>
    <w:p>
      <w:pPr>
        <w:spacing w:after="0" w:line="6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1E1E1E"/>
        </w:rPr>
        <w:t>We are subject to various federal, state, local and foreign environmental laws and regulations governing, among other things, discharges to air and water, management of regulated materials, energy consumption, handling and disposal of solid and hazardous waste and investigation and remediation of contaminated sites. We are also subject to laws and regulations regarding the types of substances allowable in certain of our products and the handling of our products at the end of their useful life. Because of the nature of our business, we have incurred and will continue to incur costs relating to compliance with or liability under these environmental laws and regulations, and these costs could be material. In addition, there is an increasing focus on corporate social and environmental responsibility in our industry, in which new laws and regulations, new or different interpretations of existing laws and regulations, expansion of existing legal requirements related to our products, the discovery of previously unknown contamination or the imposition of new remediation or discharge requirements could require us to incur costs or could become the basis for new or increased liabilities that could have a material adverse effect on our financial condition.</w:t>
      </w:r>
    </w:p>
    <w:p>
      <w:pPr>
        <w:spacing w:after="0" w:line="20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1E1E1E"/>
        </w:rPr>
        <w:t>Certain environmental laws impose strict and, in some circumstances, joint and several liability on current or former owners or operators of a contaminated property, as well as companies that generated, disposed of or arranged for the disposal of hazardous substances at a contaminated property, for the costs of investigation and remediation of such property. Our present and past facilities have been in operation for many years and over that time, in the course of those operations, hazardous substances and wastes have been used, generated and occasionally disposed of at such facilities, and we have disposed of waste products either directly or through third parties at numerous disposal sites. Consequently, it has been necessary to undertake investigation and remediation projects at certain sites and we have been, and may in the future be, held responsible for a portion of the investigation and clean-up costs at these sites and our share of those costs may be material.</w:t>
      </w:r>
    </w:p>
    <w:p>
      <w:pPr>
        <w:spacing w:after="0" w:line="20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Efforts to regulate emissions of greenhouse gases (GHGs), such as carbon dioxide, are continuing to evolve in the U.S. and other countries where we operate, and this could increase the cost of raw materials, production processes and transportation of our products. If we are unable to comply with such regulations or sufficiently increase prices or otherwise reduce costs to offset the increased costs of compliance, GHG regulation could have a material adverse effect on our business, financial condition, results of operations and cash flow.</w:t>
      </w:r>
    </w:p>
    <w:p>
      <w:pPr>
        <w:spacing w:after="0" w:line="197"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1E1E1E"/>
        </w:rPr>
        <w:t>A number of governments or governmental bodies have also introduced or are contemplating regulatory changes in response to various climate change interest groups and the potential impact of climate change, such as the proposed reporting regulations issued by the Securities and Exchange Commission in the U.S. and final regulations issued in California and the E.U. Increased regulation regarding climate change could impose significant costs on us and our suppliers, including costs related to increased energy requirements, capital equipment, environmental monitoring and reporting, and other costs to comply with such regulations. Any adopted future climate change regulations could also negatively impact our ability to compete with companies situated in areas not subject to such limitations.</w:t>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31</w:t>
      </w:r>
    </w:p>
    <w:p>
      <w:pPr>
        <w:sectPr>
          <w:pgSz w:w="11880" w:h="15480" w:orient="portrait"/>
          <w:cols w:equalWidth="0" w:num="1">
            <w:col w:w="10800"/>
          </w:cols>
          <w:pgMar w:left="540" w:top="1238" w:right="540" w:bottom="0" w:gutter="0" w:footer="0" w:header="0"/>
          <w:type w:val="continuous"/>
        </w:sectPr>
      </w:pPr>
    </w:p>
    <w:bookmarkStart w:id="41" w:name="page42"/>
    <w:bookmarkEnd w:id="41"/>
    <w:p>
      <w:pPr>
        <w:ind w:right="140"/>
        <w:spacing w:after="0" w:line="249" w:lineRule="auto"/>
        <w:rPr>
          <w:sz w:val="20"/>
          <w:szCs w:val="20"/>
          <w:color w:val="auto"/>
        </w:rPr>
      </w:pPr>
      <w:r>
        <w:rPr>
          <w:rFonts w:ascii="Times New Roman" w:cs="Times New Roman" w:eastAsia="Times New Roman" w:hAnsi="Times New Roman"/>
          <w:sz w:val="20"/>
          <w:szCs w:val="20"/>
          <w:color w:val="1E1E1E"/>
        </w:rPr>
        <w:t>Additionally, some of our customers have adopted, or may adopt, procurement policies that include social and environmental responsibility provisions or requirements with which their suppliers should comply. An increasing number of investors are also pushing companies to disclose corporate social and environmental policies, practices and metrics. If we are unable to comply with such policies or meet the requirements of our customers and investors, it may impact the demand for our products, negatively impact our stock price or expose us to potential litigation.</w:t>
      </w:r>
    </w:p>
    <w:p>
      <w:pPr>
        <w:spacing w:after="0" w:line="19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Given the political significance around and uncertainty about how to best mitigate climate change, we cannot predict how legislation, regulation or customer and investor expectations will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General Risk Factors</w:t>
      </w:r>
    </w:p>
    <w:p>
      <w:pPr>
        <w:spacing w:after="0" w:line="125"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Any future public health crisis could materially adversely affect our business, financial condition, results of operations and cash flows.</w:t>
      </w:r>
    </w:p>
    <w:p>
      <w:pPr>
        <w:spacing w:after="0" w:line="46"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20"/>
          <w:szCs w:val="20"/>
          <w:color w:val="1E1E1E"/>
        </w:rPr>
        <w:t>Pandemics have had and could have in the future, material and adverse effects on our ability to successfully operate and on our financial condition, results of operations and cash flows due to the following factors, among others:</w:t>
      </w:r>
    </w:p>
    <w:p>
      <w:pPr>
        <w:spacing w:after="0" w:line="60" w:lineRule="exact"/>
        <w:rPr>
          <w:sz w:val="20"/>
          <w:szCs w:val="20"/>
          <w:color w:val="auto"/>
        </w:rPr>
      </w:pPr>
    </w:p>
    <w:p>
      <w:pPr>
        <w:ind w:left="980" w:right="80" w:hanging="490"/>
        <w:spacing w:after="0" w:line="278"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health concerns that may lead to a complete or partial closure of, or other operational issues at, our manufacturing facility or those of our contract manufacturers;</w:t>
      </w:r>
    </w:p>
    <w:p>
      <w:pPr>
        <w:spacing w:after="0" w:line="60" w:lineRule="exact"/>
        <w:rPr>
          <w:rFonts w:ascii="Arial" w:cs="Arial" w:eastAsia="Arial" w:hAnsi="Arial"/>
          <w:sz w:val="20"/>
          <w:szCs w:val="20"/>
          <w:color w:val="1E1E1E"/>
        </w:rPr>
      </w:pPr>
    </w:p>
    <w:p>
      <w:pPr>
        <w:ind w:left="980" w:right="500" w:hanging="490"/>
        <w:spacing w:after="0" w:line="278"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the reduced economic activity may severely impact our customers’ financial condition and liquidity and may lead to decreased demand for our products and services or impact the timing of on-going or planned projects;</w:t>
      </w:r>
    </w:p>
    <w:p>
      <w:pPr>
        <w:spacing w:after="0" w:line="60" w:lineRule="exact"/>
        <w:rPr>
          <w:rFonts w:ascii="Arial" w:cs="Arial" w:eastAsia="Arial" w:hAnsi="Arial"/>
          <w:sz w:val="20"/>
          <w:szCs w:val="20"/>
          <w:color w:val="1E1E1E"/>
        </w:rPr>
      </w:pPr>
    </w:p>
    <w:p>
      <w:pPr>
        <w:ind w:left="980" w:right="160" w:hanging="490"/>
        <w:spacing w:after="0" w:line="259"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or address existing and anticipated liabilities on a timely basis;</w:t>
      </w:r>
    </w:p>
    <w:p>
      <w:pPr>
        <w:spacing w:after="0" w:line="78" w:lineRule="exact"/>
        <w:rPr>
          <w:rFonts w:ascii="Arial" w:cs="Arial" w:eastAsia="Arial" w:hAnsi="Arial"/>
          <w:sz w:val="20"/>
          <w:szCs w:val="20"/>
          <w:color w:val="1E1E1E"/>
        </w:rPr>
      </w:pPr>
    </w:p>
    <w:p>
      <w:pPr>
        <w:ind w:left="980" w:right="60" w:hanging="490"/>
        <w:spacing w:after="0" w:line="278"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a deterioration in our ability to operate in affected areas or delays in the supply of products or services to us from vendors that are needed for our efficient operations could adversely affect our operations;</w:t>
      </w:r>
    </w:p>
    <w:p>
      <w:pPr>
        <w:spacing w:after="0" w:line="60" w:lineRule="exact"/>
        <w:rPr>
          <w:rFonts w:ascii="Arial" w:cs="Arial" w:eastAsia="Arial" w:hAnsi="Arial"/>
          <w:sz w:val="20"/>
          <w:szCs w:val="20"/>
          <w:color w:val="1E1E1E"/>
        </w:rPr>
      </w:pPr>
    </w:p>
    <w:p>
      <w:pPr>
        <w:ind w:left="980" w:right="220" w:hanging="490"/>
        <w:spacing w:after="0" w:line="278"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the potential outbreaks among our personnel, particularly if a significant number of them are impacted, could result in a deterioration in our ability to ensure business continuity during a disruption; and</w:t>
      </w:r>
    </w:p>
    <w:p>
      <w:pPr>
        <w:spacing w:after="0" w:line="60" w:lineRule="exact"/>
        <w:rPr>
          <w:rFonts w:ascii="Arial" w:cs="Arial" w:eastAsia="Arial" w:hAnsi="Arial"/>
          <w:sz w:val="20"/>
          <w:szCs w:val="20"/>
          <w:color w:val="1E1E1E"/>
        </w:rPr>
      </w:pPr>
    </w:p>
    <w:p>
      <w:pPr>
        <w:ind w:left="980" w:hanging="490"/>
        <w:spacing w:after="0" w:line="259"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remote working arrangements may increase our vulnerability to cybersecurity incidents, including breaches of information systems security, which could damage our reputation, disrupt operations and expose us to claims from customers, suppliers, employees and others.</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The extent to which any future public health crisis impacts our operations and those of our customers and suppliers will depend on the scope, severity, duration and spread of the health crisis, the actions taken to contain it or mitigate its impact, and the direct and indirect economic effects of the crisis and containment measures, among others, all of which are uncertain and cannot be predicted with confidence.</w:t>
      </w:r>
    </w:p>
    <w:p>
      <w:pPr>
        <w:spacing w:after="0" w:line="19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do not intend to pay regular dividends on our common stock and, consequently, the ability of investors to achieve a return on their investment in the ordinary course will depend on appreciation in the price of our common stock.</w:t>
      </w:r>
    </w:p>
    <w:p>
      <w:pPr>
        <w:spacing w:after="0" w:line="4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1E1E1E"/>
        </w:rPr>
        <w:t>In connection with the sale of our CCS business, we announced our intent to pay a one-time special dividend of no less than $10 to stockholders, which we currently expect to pay in the first half of 2026. However, we do not intend to declare and pay any other dividends, including any regular dividends, on our common stock for the foreseeable future. The payment of future dividends will be at the discretion of our Board. We currently intend to invest our future earnings, if any, to fund our growth. The success of an investment in our common stock will largely depend upon future appreciation in value, and there can be no guarantee that our common stock will appreciate in value.</w:t>
      </w:r>
    </w:p>
    <w:p>
      <w:pPr>
        <w:sectPr>
          <w:pgSz w:w="11880" w:h="15480" w:orient="portrait"/>
          <w:cols w:equalWidth="0" w:num="1">
            <w:col w:w="10780"/>
          </w:cols>
          <w:pgMar w:left="540" w:top="123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32</w:t>
      </w:r>
    </w:p>
    <w:p>
      <w:pPr>
        <w:sectPr>
          <w:pgSz w:w="11880" w:h="15480" w:orient="portrait"/>
          <w:cols w:equalWidth="0" w:num="1">
            <w:col w:w="10780"/>
          </w:cols>
          <w:pgMar w:left="540" w:top="1238" w:right="56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1E1E1E"/>
        </w:rPr>
        <w:t>ITEM 1B. UNRESOLVED STAFF COMMENTS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1C. CYBERSECURITY</w:t>
      </w:r>
    </w:p>
    <w:p>
      <w:pPr>
        <w:spacing w:after="0" w:line="1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Like many large, global companies, we rely heavily on digital technology to conduct operations and engage with our customers and business partners. As our engagements become more complex and interdependent, threats from security incidents like ransomware and data incidents may increase. To mitigate the threat to our business, we take a comprehensive approach to cybersecurity risk management and make securing our data and the data customers and other stakeholders entrust to us a top priority. Our Board of Directors (Board), through our Audit Committee, and our management team are actively involved in the oversight of our Enterprise Risk Management (ERM) program, of which cybersecurity represents an important component. As described in more detail below, we have established policies, standards, processes and practices for assessing, identifying and managing material risks from cybersecurity threats. We have made investments in resources to implement and maintain security measures to meet regulatory requirements and stakeholder expectations, and we intend to continue to make investments to maintain the security of our data and cybersecurity infrastructure. There can be no guarantee that our policies and procedures will be properly followed in every instance or that those policies and procedures will be effective. We believe that risks from prior cybersecurity threats, including as a result of previous cybersecurity incidents, have not materially affected our business to date. We can provide no assurance that there will not be incidents in the future or that any such incidents will not materially affect us, including our business strategy, results of operations or financial condition. For additional information regarding the risks associated with cybersecurity incidents, see Item 1A. “Risk Factors.”</w:t>
      </w:r>
    </w:p>
    <w:p>
      <w:pPr>
        <w:spacing w:after="0" w:line="20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The Company’s Board of Directors is responsible for overseeing the risks associated with cybersecurity threats. The Audit Committee is responsible for oversight of cybersecurity and is actively engaged with our Chief Information Officer (CIO) and Chief Information Security Officer (CISO) at least quarterly, in addition to ad-hoc discussions, and our periodic cyber crisis tabletop exercises with participation from the Audit Committee and management. Our CIO and CISO also present on cybersecurity to our full Board at least annually. The commitment extends through our executive leadership team (ELT), who engage continually to review our cybersecurity strategy, planning and execution.</w:t>
      </w:r>
    </w:p>
    <w:p>
      <w:pPr>
        <w:spacing w:after="0" w:line="20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Cybersecurity risk is part of our cross-functional ERM program because of the potential for negative impacts of an incident across our business. At least annually we conduct a cybersecurity risk assessment, bringing together threat intelligence, internal assessment of our control posture and third-party opinions. The risk assessment informs our Board and management team and drives the next year’s security strategy and initiatives.</w:t>
      </w:r>
    </w:p>
    <w:p>
      <w:pPr>
        <w:spacing w:after="0" w:line="19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1E1E1E"/>
        </w:rPr>
        <w:t>We have implemented a cybersecurity program that is dedicated to protecting our business processes, technology assets and sensitive information entrusted to us by our customers, suppliers, employees and other stakeholders. Drawing on the National Institute of Standards and Technology (NIST) Cybersecurity Framework (CSF) and Center for Internet Security (CIS) 18 Critical Security Controls, our security program seeks to identify high-value enterprise assets and business processes and manage the cybersecurity threats facing them with layered controls. We practice a “Defense in Depth” methodology, meaning that valuable assets or business processes are generally protected with more than one layered control.</w:t>
      </w:r>
    </w:p>
    <w:p>
      <w:pPr>
        <w:spacing w:after="0" w:line="20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1E1E1E"/>
        </w:rPr>
        <w:t>Our cybersecurity program is led by our CIO and our CISO. Our CIO has served in various roles in information technology and information security for over twenty years. Our CISO has over twenty years of technology and security experience and has spent more than fifteen years leading cybersecurity functions. He is also a Certified Information Systems Security Professional (CISSP).</w:t>
      </w:r>
    </w:p>
    <w:p>
      <w:pPr>
        <w:spacing w:after="0" w:line="18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Our CISO leads an in-house information security team responsible for cybersecurity risk and threat evaluation; the writing of relevant policies, control standards, and technical requirements; and the oversight and operation of security controls. The information security team monitors for potential incidents via a global team operating 24 x 7 x 365 in a “follow the sun” model. We also engage outside experts where a third-party opinion or subject matter expertise provides specific value, such as with penetration testing. We use industry-leading security tools, regularly update our technology roadmaps, conduct tabletop exercises and mandate cybersecurity awareness and training for all employees.</w:t>
      </w:r>
    </w:p>
    <w:p>
      <w:pPr>
        <w:spacing w:after="0" w:line="20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1E1E1E"/>
        </w:rPr>
        <w:t>We not only focus on cybersecurity threats directly facing us but also those that might affect us through one of the many third parties we do business with, including suppliers and customers. Our procurement and information security teams have a shared process to review the cybersecurity risk of many third parties we do business with, including assessments relevant to cybersecurity risk during onboarding, requiring certain contractual information security requirements and controls, and investigating third-party cybersecurity incidents as appropriate.</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33</w:t>
      </w:r>
    </w:p>
    <w:p>
      <w:pPr>
        <w:sectPr>
          <w:pgSz w:w="11880" w:h="15480" w:orient="portrait"/>
          <w:cols w:equalWidth="0" w:num="1">
            <w:col w:w="10800"/>
          </w:cols>
          <w:pgMar w:left="540" w:top="1235" w:right="540" w:bottom="0" w:gutter="0" w:footer="0" w:header="0"/>
          <w:type w:val="continuous"/>
        </w:sectPr>
      </w:pPr>
    </w:p>
    <w:bookmarkStart w:id="43" w:name="page44"/>
    <w:bookmarkEnd w:id="43"/>
    <w:p>
      <w:pPr>
        <w:ind w:right="40"/>
        <w:spacing w:after="0" w:line="279" w:lineRule="auto"/>
        <w:rPr>
          <w:sz w:val="20"/>
          <w:szCs w:val="20"/>
          <w:color w:val="auto"/>
        </w:rPr>
      </w:pPr>
      <w:r>
        <w:rPr>
          <w:rFonts w:ascii="Times New Roman" w:cs="Times New Roman" w:eastAsia="Times New Roman" w:hAnsi="Times New Roman"/>
          <w:sz w:val="19"/>
          <w:szCs w:val="19"/>
          <w:color w:val="1E1E1E"/>
        </w:rPr>
        <w:t>In the event of a significant cybersecurity incident, we have a detailed Cybersecurity Incident Response Plan (CIRP) in place for informing key stakeholders, ensuring events are properly escalated and for contacting authorities. Our incident response plan is regularly validated and assessed to consider the types of decisions that would need to be made in the event of a cybersecurity incident.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2. PROPERTIES</w:t>
      </w:r>
    </w:p>
    <w:p>
      <w:pPr>
        <w:spacing w:after="0" w:line="12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As of December 31, 2025, our headquarters is located in Richardson, Texas. Excluding the properties related to our discontinued operations, we operate primarily in various owned and leased offices, most of which also include a R&amp;D laboratory, and are located in the U.S., Ireland, Mexico, China, India and Taiwan. In addition, we maintain two designated R&amp;D facilities located in Mexico and China. We also operate in a leased manufacturing facility located in Mexico which consists of approximately 128,000 square feet, as well as a warehouse located in Ireland, both of which are related to our Aurora segment. We believe that our facilities are suitable and adequate for our business and is being appropriately utilized for its intended purposes. Our factory and machinery and equipment are generally in good operating condition, are reasonably maintained and in regular use. We consider the present level of fixed assets along with planned capital expenditures to be suitable and adequate for operations in the current business environment.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3. LEGAL PROCEEDINGS</w:t>
      </w:r>
    </w:p>
    <w:p>
      <w:pPr>
        <w:spacing w:after="0" w:line="12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1E1E1E"/>
        </w:rPr>
        <w:t>We are a party to certain intellectual property claims and also periodically receive notices asserting that our products infringe on another party’s patents and other intellectual property rights. These claims and assertions, whether against us directly or against our customers, could require us to pay damages or royalties, stop offering the relevant products and/or cease other activities. We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our estimates. From time to time, we may also be involved as a plaintiff involving intellectual property claims. Gain contingencies, if any, are recognized when they are realized.</w:t>
      </w:r>
    </w:p>
    <w:p>
      <w:pPr>
        <w:spacing w:after="0" w:line="202" w:lineRule="exact"/>
        <w:rPr>
          <w:sz w:val="20"/>
          <w:szCs w:val="20"/>
          <w:color w:val="auto"/>
        </w:rPr>
      </w:pPr>
    </w:p>
    <w:p>
      <w:pPr>
        <w:jc w:val="both"/>
        <w:ind w:right="500"/>
        <w:spacing w:after="0" w:line="259" w:lineRule="auto"/>
        <w:rPr>
          <w:sz w:val="20"/>
          <w:szCs w:val="20"/>
          <w:color w:val="auto"/>
        </w:rPr>
      </w:pPr>
      <w:r>
        <w:rPr>
          <w:rFonts w:ascii="Times New Roman" w:cs="Times New Roman" w:eastAsia="Times New Roman" w:hAnsi="Times New Roman"/>
          <w:sz w:val="20"/>
          <w:szCs w:val="20"/>
          <w:color w:val="1E1E1E"/>
        </w:rPr>
        <w:t>We are also either a plaintiff or a defendant in certain other pending legal matters in the normal course of business. Management believes none of these pending legal matters will have a material adverse effect on our business or financial condition upon final disposition.</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1E1E1E"/>
        </w:rPr>
        <w:t>In addition, we are subject to various federal, state, local and foreign laws and regulations governing the use, discharge, disposal and remediation of hazardous materials. Compliance with current laws and regulations has not had, and is not expected to have, a materially adverse effect on our financial condition or results of operations.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4. MINE SAFETY DISCLOSURES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780"/>
          </w:cols>
          <w:pgMar w:left="540" w:top="123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34</w:t>
      </w:r>
    </w:p>
    <w:p>
      <w:pPr>
        <w:sectPr>
          <w:pgSz w:w="11880" w:h="15480" w:orient="portrait"/>
          <w:cols w:equalWidth="0" w:num="1">
            <w:col w:w="10780"/>
          </w:cols>
          <w:pgMar w:left="540" w:top="1238" w:right="560" w:bottom="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36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color w:val="1E1E1E"/>
        </w:rPr>
        <w:t>ITEM 5. MARKET FOR REGISTRANT’S COMMON EQUITY, RELATED STOCKHOLDER MATTERS AND ISSUER PURCHASES OF EQUITY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Market Information and Holders</w:t>
      </w:r>
    </w:p>
    <w:p>
      <w:pPr>
        <w:spacing w:after="0" w:line="12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1E1E1E"/>
        </w:rPr>
        <w:t>In connection with the sale of the CCS segment that was completed subsequent to fiscal year end on January 9, 2026, our common stock continues to trade on the Nasdaq Global Select Market, but effective as of January 14, 2026, it trades under the ticker symbol “VISN.” For further discussion of the sale of the CCS segment, see Note 19 in the Notes to Consolidated Financial Statements included elsewhere in this Annual Report on Form 10-K. As of February 12, 2026, all of our outstanding shares of common stock are held by one stockholder of record, Cede &amp; Co., as nominee for the Depository Trust Company. Many brokers, banks and other institutions hold shares of common stock as nominees for beneficial owners that deposit these shares of common stock in participant accounts at the Depository Trust Company.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Issuer Purchases of Equity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summarizes the stock purchase activity for the three months ended December 31,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E1E1E"/>
              </w:rPr>
              <w:t>Total Number</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Total Number of Shares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6"/>
                <w:szCs w:val="16"/>
                <w:b w:val="1"/>
                <w:bCs w:val="1"/>
                <w:color w:val="1E1E1E"/>
              </w:rPr>
              <w:t>Average</w:t>
            </w:r>
          </w:p>
        </w:tc>
        <w:tc>
          <w:tcPr>
            <w:tcW w:w="260" w:type="dxa"/>
            <w:vAlign w:val="bottom"/>
          </w:tcPr>
          <w:p>
            <w:pPr>
              <w:spacing w:after="0"/>
              <w:rPr>
                <w:sz w:val="14"/>
                <w:szCs w:val="14"/>
                <w:color w:val="auto"/>
              </w:rPr>
            </w:pPr>
          </w:p>
        </w:tc>
        <w:tc>
          <w:tcPr>
            <w:tcW w:w="192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1E1E1E"/>
              </w:rPr>
              <w:t>Purchased as Part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ind w:right="28"/>
              <w:spacing w:after="0" w:line="169" w:lineRule="exact"/>
              <w:rPr>
                <w:sz w:val="20"/>
                <w:szCs w:val="20"/>
                <w:color w:val="auto"/>
              </w:rPr>
            </w:pPr>
            <w:r>
              <w:rPr>
                <w:rFonts w:ascii="Times New Roman" w:cs="Times New Roman" w:eastAsia="Times New Roman" w:hAnsi="Times New Roman"/>
                <w:sz w:val="16"/>
                <w:szCs w:val="16"/>
                <w:b w:val="1"/>
                <w:bCs w:val="1"/>
                <w:color w:val="1E1E1E"/>
              </w:rPr>
              <w:t>Maximum Value of Shares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of Shares</w:t>
            </w:r>
          </w:p>
        </w:tc>
        <w:tc>
          <w:tcPr>
            <w:tcW w:w="28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1E1E1E"/>
              </w:rPr>
              <w:t>Price Paid</w:t>
            </w:r>
          </w:p>
        </w:tc>
        <w:tc>
          <w:tcPr>
            <w:tcW w:w="2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Publicly Announced Plans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1E1E1E"/>
              </w:rPr>
              <w:t>that May Yet be Purchased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20" w:type="dxa"/>
            <w:vAlign w:val="bottom"/>
            <w:tcBorders>
              <w:bottom w:val="single" w:sz="8" w:color="1E1E1E"/>
            </w:tcBorders>
          </w:tcPr>
          <w:p>
            <w:pPr>
              <w:ind w:left="100"/>
              <w:spacing w:after="0"/>
              <w:rPr>
                <w:sz w:val="20"/>
                <w:szCs w:val="20"/>
                <w:color w:val="auto"/>
              </w:rPr>
            </w:pPr>
            <w:r>
              <w:rPr>
                <w:rFonts w:ascii="Times New Roman" w:cs="Times New Roman" w:eastAsia="Times New Roman" w:hAnsi="Times New Roman"/>
                <w:sz w:val="16"/>
                <w:szCs w:val="16"/>
                <w:b w:val="1"/>
                <w:bCs w:val="1"/>
                <w:color w:val="1E1E1E"/>
              </w:rPr>
              <w:t>Period</w:t>
            </w:r>
          </w:p>
        </w:tc>
        <w:tc>
          <w:tcPr>
            <w:tcW w:w="180" w:type="dxa"/>
            <w:vAlign w:val="bottom"/>
            <w:tcBorders>
              <w:bottom w:val="single" w:sz="8" w:color="E1E1E1"/>
            </w:tcBorders>
          </w:tcPr>
          <w:p>
            <w:pPr>
              <w:spacing w:after="0"/>
              <w:rPr>
                <w:sz w:val="19"/>
                <w:szCs w:val="19"/>
                <w:color w:val="auto"/>
              </w:rPr>
            </w:pPr>
          </w:p>
        </w:tc>
        <w:tc>
          <w:tcPr>
            <w:tcW w:w="1200" w:type="dxa"/>
            <w:vAlign w:val="bottom"/>
            <w:tcBorders>
              <w:bottom w:val="single" w:sz="8" w:color="1E1E1E"/>
            </w:tcBorders>
          </w:tcPr>
          <w:p>
            <w:pPr>
              <w:jc w:val="center"/>
              <w:spacing w:after="0" w:line="219" w:lineRule="exact"/>
              <w:rPr>
                <w:sz w:val="20"/>
                <w:szCs w:val="20"/>
                <w:color w:val="auto"/>
              </w:rPr>
            </w:pPr>
            <w:r>
              <w:rPr>
                <w:rFonts w:ascii="Times New Roman" w:cs="Times New Roman" w:eastAsia="Times New Roman" w:hAnsi="Times New Roman"/>
                <w:sz w:val="16"/>
                <w:szCs w:val="16"/>
                <w:b w:val="1"/>
                <w:bCs w:val="1"/>
                <w:color w:val="1E1E1E"/>
                <w:w w:val="95"/>
              </w:rPr>
              <w:t xml:space="preserve">Purchased </w:t>
            </w:r>
            <w:r>
              <w:rPr>
                <w:rFonts w:ascii="Times New Roman" w:cs="Times New Roman" w:eastAsia="Times New Roman" w:hAnsi="Times New Roman"/>
                <w:sz w:val="24"/>
                <w:szCs w:val="24"/>
                <w:b w:val="1"/>
                <w:bCs w:val="1"/>
                <w:color w:val="1E1E1E"/>
                <w:w w:val="95"/>
                <w:vertAlign w:val="superscript"/>
              </w:rPr>
              <w:t>(1)</w:t>
            </w:r>
          </w:p>
        </w:tc>
        <w:tc>
          <w:tcPr>
            <w:tcW w:w="280" w:type="dxa"/>
            <w:vAlign w:val="bottom"/>
            <w:tcBorders>
              <w:bottom w:val="single" w:sz="8" w:color="E1E1E1"/>
            </w:tcBorders>
          </w:tcPr>
          <w:p>
            <w:pPr>
              <w:spacing w:after="0"/>
              <w:rPr>
                <w:sz w:val="19"/>
                <w:szCs w:val="19"/>
                <w:color w:val="auto"/>
              </w:rPr>
            </w:pPr>
          </w:p>
        </w:tc>
        <w:tc>
          <w:tcPr>
            <w:tcW w:w="76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1E1E1E"/>
              </w:rPr>
              <w:t>Per Share</w:t>
            </w:r>
          </w:p>
        </w:tc>
        <w:tc>
          <w:tcPr>
            <w:tcW w:w="260" w:type="dxa"/>
            <w:vAlign w:val="bottom"/>
            <w:tcBorders>
              <w:bottom w:val="single" w:sz="8" w:color="E1E1E1"/>
            </w:tcBorders>
          </w:tcPr>
          <w:p>
            <w:pPr>
              <w:spacing w:after="0"/>
              <w:rPr>
                <w:sz w:val="19"/>
                <w:szCs w:val="19"/>
                <w:color w:val="auto"/>
              </w:rPr>
            </w:pPr>
          </w:p>
        </w:tc>
        <w:tc>
          <w:tcPr>
            <w:tcW w:w="19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or Programs</w:t>
            </w:r>
          </w:p>
        </w:tc>
        <w:tc>
          <w:tcPr>
            <w:tcW w:w="280" w:type="dxa"/>
            <w:vAlign w:val="bottom"/>
            <w:tcBorders>
              <w:bottom w:val="single" w:sz="8" w:color="E1E1E1"/>
            </w:tcBorders>
          </w:tcPr>
          <w:p>
            <w:pPr>
              <w:spacing w:after="0"/>
              <w:rPr>
                <w:sz w:val="19"/>
                <w:szCs w:val="19"/>
                <w:color w:val="auto"/>
              </w:rPr>
            </w:pPr>
          </w:p>
        </w:tc>
        <w:tc>
          <w:tcPr>
            <w:tcW w:w="214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Under the Plans or Programs</w:t>
            </w:r>
          </w:p>
        </w:tc>
        <w:tc>
          <w:tcPr>
            <w:tcW w:w="60" w:type="dxa"/>
            <w:vAlign w:val="bottom"/>
            <w:tcBorders>
              <w:bottom w:val="single" w:sz="8" w:color="E1E1E1"/>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October 1, 2025 - October 31, 2025</w:t>
            </w:r>
          </w:p>
        </w:tc>
        <w:tc>
          <w:tcPr>
            <w:tcW w:w="180" w:type="dxa"/>
            <w:vAlign w:val="bottom"/>
            <w:shd w:val="clear" w:color="auto" w:fill="E1E1E1"/>
          </w:tcPr>
          <w:p>
            <w:pPr>
              <w:spacing w:after="0"/>
              <w:rPr>
                <w:sz w:val="20"/>
                <w:szCs w:val="20"/>
                <w:color w:val="auto"/>
              </w:rPr>
            </w:pPr>
          </w:p>
        </w:tc>
        <w:tc>
          <w:tcPr>
            <w:tcW w:w="12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6,665</w:t>
            </w:r>
          </w:p>
        </w:tc>
        <w:tc>
          <w:tcPr>
            <w:tcW w:w="28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shd w:val="clear" w:color="auto" w:fill="E1E1E1"/>
              </w:rPr>
              <w:t>$</w:t>
            </w:r>
          </w:p>
        </w:tc>
        <w:tc>
          <w:tcPr>
            <w:tcW w:w="5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15.86</w:t>
            </w:r>
          </w:p>
        </w:tc>
        <w:tc>
          <w:tcPr>
            <w:tcW w:w="260" w:type="dxa"/>
            <w:vAlign w:val="bottom"/>
            <w:shd w:val="clear" w:color="auto" w:fill="E1E1E1"/>
          </w:tcPr>
          <w:p>
            <w:pPr>
              <w:spacing w:after="0"/>
              <w:rPr>
                <w:sz w:val="20"/>
                <w:szCs w:val="20"/>
                <w:color w:val="auto"/>
              </w:rPr>
            </w:pPr>
          </w:p>
        </w:tc>
        <w:tc>
          <w:tcPr>
            <w:tcW w:w="1920" w:type="dxa"/>
            <w:vAlign w:val="bottom"/>
            <w:shd w:val="clear" w:color="auto" w:fill="E1E1E1"/>
          </w:tcPr>
          <w:p>
            <w:pPr>
              <w:ind w:left="1700"/>
              <w:spacing w:after="0"/>
              <w:rPr>
                <w:sz w:val="20"/>
                <w:szCs w:val="20"/>
                <w:color w:val="auto"/>
              </w:rPr>
            </w:pPr>
            <w:r>
              <w:rPr>
                <w:rFonts w:ascii="Times New Roman" w:cs="Times New Roman" w:eastAsia="Times New Roman" w:hAnsi="Times New Roman"/>
                <w:sz w:val="20"/>
                <w:szCs w:val="20"/>
                <w:color w:val="1E1E1E"/>
                <w:w w:val="99"/>
              </w:rPr>
              <w:t>—</w:t>
            </w:r>
          </w:p>
        </w:tc>
        <w:tc>
          <w:tcPr>
            <w:tcW w:w="280" w:type="dxa"/>
            <w:vAlign w:val="bottom"/>
            <w:shd w:val="clear" w:color="auto" w:fill="E1E1E1"/>
          </w:tcPr>
          <w:p>
            <w:pPr>
              <w:spacing w:after="0"/>
              <w:rPr>
                <w:sz w:val="20"/>
                <w:szCs w:val="20"/>
                <w:color w:val="auto"/>
              </w:rPr>
            </w:pP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2040" w:type="dxa"/>
            <w:vAlign w:val="bottom"/>
            <w:shd w:val="clear" w:color="auto" w:fill="E1E1E1"/>
          </w:tcPr>
          <w:p>
            <w:pPr>
              <w:ind w:left="1820"/>
              <w:spacing w:after="0"/>
              <w:rPr>
                <w:sz w:val="20"/>
                <w:szCs w:val="20"/>
                <w:color w:val="auto"/>
              </w:rPr>
            </w:pPr>
            <w:r>
              <w:rPr>
                <w:rFonts w:ascii="Times New Roman" w:cs="Times New Roman" w:eastAsia="Times New Roman" w:hAnsi="Times New Roman"/>
                <w:sz w:val="20"/>
                <w:szCs w:val="20"/>
                <w:color w:val="1E1E1E"/>
                <w:w w:val="99"/>
              </w:rPr>
              <w:t>—</w:t>
            </w:r>
          </w:p>
        </w:tc>
        <w:tc>
          <w:tcPr>
            <w:tcW w:w="6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1E1E1E"/>
              </w:rPr>
              <w:t>November 1, 2025 - November 30, 2025</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1,057</w:t>
            </w:r>
          </w:p>
        </w:tc>
        <w:tc>
          <w:tcPr>
            <w:tcW w:w="2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17.30</w:t>
            </w:r>
          </w:p>
        </w:tc>
        <w:tc>
          <w:tcPr>
            <w:tcW w:w="260" w:type="dxa"/>
            <w:vAlign w:val="bottom"/>
          </w:tcPr>
          <w:p>
            <w:pPr>
              <w:spacing w:after="0"/>
              <w:rPr>
                <w:sz w:val="21"/>
                <w:szCs w:val="21"/>
                <w:color w:val="auto"/>
              </w:rPr>
            </w:pPr>
          </w:p>
        </w:tc>
        <w:tc>
          <w:tcPr>
            <w:tcW w:w="1920" w:type="dxa"/>
            <w:vAlign w:val="bottom"/>
          </w:tcPr>
          <w:p>
            <w:pPr>
              <w:ind w:left="1700"/>
              <w:spacing w:after="0"/>
              <w:rPr>
                <w:sz w:val="20"/>
                <w:szCs w:val="20"/>
                <w:color w:val="auto"/>
              </w:rPr>
            </w:pPr>
            <w:r>
              <w:rPr>
                <w:rFonts w:ascii="Times New Roman" w:cs="Times New Roman" w:eastAsia="Times New Roman" w:hAnsi="Times New Roman"/>
                <w:sz w:val="20"/>
                <w:szCs w:val="20"/>
                <w:color w:val="1E1E1E"/>
                <w:w w:val="99"/>
              </w:rPr>
              <w:t>—</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2040" w:type="dxa"/>
            <w:vAlign w:val="bottom"/>
          </w:tcPr>
          <w:p>
            <w:pPr>
              <w:ind w:left="1820"/>
              <w:spacing w:after="0"/>
              <w:rPr>
                <w:sz w:val="20"/>
                <w:szCs w:val="20"/>
                <w:color w:val="auto"/>
              </w:rPr>
            </w:pPr>
            <w:r>
              <w:rPr>
                <w:rFonts w:ascii="Times New Roman" w:cs="Times New Roman" w:eastAsia="Times New Roman" w:hAnsi="Times New Roman"/>
                <w:sz w:val="20"/>
                <w:szCs w:val="20"/>
                <w:color w:val="1E1E1E"/>
                <w:w w:val="99"/>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December 1, 2025 - December 31, 2025</w:t>
            </w:r>
          </w:p>
        </w:tc>
        <w:tc>
          <w:tcPr>
            <w:tcW w:w="13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1,116,956</w:t>
            </w:r>
          </w:p>
        </w:tc>
        <w:tc>
          <w:tcPr>
            <w:tcW w:w="480" w:type="dxa"/>
            <w:vAlign w:val="bottom"/>
            <w:gridSpan w:val="2"/>
            <w:shd w:val="clear" w:color="auto" w:fill="E1E1E1"/>
          </w:tcPr>
          <w:p>
            <w:pPr>
              <w:ind w:left="28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17.85</w:t>
            </w:r>
          </w:p>
        </w:tc>
        <w:tc>
          <w:tcPr>
            <w:tcW w:w="260" w:type="dxa"/>
            <w:vAlign w:val="bottom"/>
            <w:shd w:val="clear" w:color="auto" w:fill="E1E1E1"/>
          </w:tcPr>
          <w:p>
            <w:pPr>
              <w:spacing w:after="0"/>
              <w:rPr>
                <w:sz w:val="21"/>
                <w:szCs w:val="21"/>
                <w:color w:val="auto"/>
              </w:rPr>
            </w:pPr>
          </w:p>
        </w:tc>
        <w:tc>
          <w:tcPr>
            <w:tcW w:w="1920" w:type="dxa"/>
            <w:vAlign w:val="bottom"/>
            <w:shd w:val="clear" w:color="auto" w:fill="E1E1E1"/>
          </w:tcPr>
          <w:p>
            <w:pPr>
              <w:ind w:left="1700"/>
              <w:spacing w:after="0"/>
              <w:rPr>
                <w:sz w:val="20"/>
                <w:szCs w:val="20"/>
                <w:color w:val="auto"/>
              </w:rPr>
            </w:pPr>
            <w:r>
              <w:rPr>
                <w:rFonts w:ascii="Times New Roman" w:cs="Times New Roman" w:eastAsia="Times New Roman" w:hAnsi="Times New Roman"/>
                <w:sz w:val="20"/>
                <w:szCs w:val="20"/>
                <w:color w:val="1E1E1E"/>
                <w:w w:val="99"/>
              </w:rPr>
              <w:t>—</w:t>
            </w:r>
          </w:p>
        </w:tc>
        <w:tc>
          <w:tcPr>
            <w:tcW w:w="3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40" w:type="dxa"/>
            <w:vAlign w:val="bottom"/>
            <w:shd w:val="clear" w:color="auto" w:fill="E1E1E1"/>
          </w:tcPr>
          <w:p>
            <w:pPr>
              <w:ind w:left="1820"/>
              <w:spacing w:after="0"/>
              <w:rPr>
                <w:sz w:val="20"/>
                <w:szCs w:val="20"/>
                <w:color w:val="auto"/>
              </w:rPr>
            </w:pPr>
            <w:r>
              <w:rPr>
                <w:rFonts w:ascii="Times New Roman" w:cs="Times New Roman" w:eastAsia="Times New Roman" w:hAnsi="Times New Roman"/>
                <w:sz w:val="20"/>
                <w:szCs w:val="20"/>
                <w:color w:val="1E1E1E"/>
                <w:w w:val="99"/>
              </w:rPr>
              <w:t>—</w:t>
            </w:r>
          </w:p>
        </w:tc>
        <w:tc>
          <w:tcPr>
            <w:tcW w:w="6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1E1E1E"/>
              </w:rPr>
              <w:t>Total</w:t>
            </w:r>
          </w:p>
        </w:tc>
        <w:tc>
          <w:tcPr>
            <w:tcW w:w="180" w:type="dxa"/>
            <w:vAlign w:val="bottom"/>
          </w:tcPr>
          <w:p>
            <w:pPr>
              <w:spacing w:after="0"/>
              <w:rPr>
                <w:sz w:val="20"/>
                <w:szCs w:val="20"/>
                <w:color w:val="auto"/>
              </w:rPr>
            </w:pPr>
          </w:p>
        </w:tc>
        <w:tc>
          <w:tcPr>
            <w:tcW w:w="12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1,124,678</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17.84</w:t>
            </w:r>
          </w:p>
        </w:tc>
        <w:tc>
          <w:tcPr>
            <w:tcW w:w="260" w:type="dxa"/>
            <w:vAlign w:val="bottom"/>
          </w:tcPr>
          <w:p>
            <w:pPr>
              <w:spacing w:after="0"/>
              <w:rPr>
                <w:sz w:val="20"/>
                <w:szCs w:val="20"/>
                <w:color w:val="auto"/>
              </w:rPr>
            </w:pPr>
          </w:p>
        </w:tc>
        <w:tc>
          <w:tcPr>
            <w:tcW w:w="1920" w:type="dxa"/>
            <w:vAlign w:val="bottom"/>
            <w:tcBorders>
              <w:top w:val="single" w:sz="8" w:color="1E1E1E"/>
              <w:bottom w:val="single" w:sz="8" w:color="1E1E1E"/>
            </w:tcBorders>
          </w:tcPr>
          <w:p>
            <w:pPr>
              <w:ind w:left="1700"/>
              <w:spacing w:after="0"/>
              <w:rPr>
                <w:sz w:val="20"/>
                <w:szCs w:val="20"/>
                <w:color w:val="auto"/>
              </w:rPr>
            </w:pPr>
            <w:r>
              <w:rPr>
                <w:rFonts w:ascii="Times New Roman" w:cs="Times New Roman" w:eastAsia="Times New Roman" w:hAnsi="Times New Roman"/>
                <w:sz w:val="20"/>
                <w:szCs w:val="20"/>
                <w:color w:val="1E1E1E"/>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280" w:right="20" w:hanging="280"/>
        <w:spacing w:after="0" w:line="280" w:lineRule="auto"/>
        <w:tabs>
          <w:tab w:leader="none" w:pos="280" w:val="left"/>
        </w:tabs>
        <w:numPr>
          <w:ilvl w:val="0"/>
          <w:numId w:val="3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shares purchased were withheld to satisfy the withholding tax obligations related to restricted stock units and performance share units that vested during the period.</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35</w:t>
      </w:r>
    </w:p>
    <w:p>
      <w:pPr>
        <w:sectPr>
          <w:pgSz w:w="11880" w:h="15480" w:orient="portrait"/>
          <w:cols w:equalWidth="0" w:num="1">
            <w:col w:w="10800"/>
          </w:cols>
          <w:pgMar w:left="540" w:top="1235" w:right="54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1E1E1E"/>
        </w:rPr>
        <w:t>Stock Performance Graph</w:t>
      </w:r>
    </w:p>
    <w:p>
      <w:pPr>
        <w:spacing w:after="0" w:line="12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The following graph compares cumulative total return on $100 invested on December 31, 2020 in each of our Common Stock, the Standard &amp; Poor’s 500 Stock Index (S&amp;P 500 Index) and the Standard &amp; Poor’s 1500 Communications Equipment Index (S&amp;P 1500 Communications Equipment). The return of the Standard &amp; Poor’s indices is calculated assuming reinvestment of dividends. We have not paid any dividends on our common stock over this period. We announced our intent to pay a one-time special dividend of no less than $10 per share to stockholders, which we currently expect to pay in the first half of 2026. However, we do not intend to declare and pay any other dividends, including any regular dividends, on our common stock for the foreseeable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505050"/>
        </w:rPr>
        <w:t>Comparison of Cumulative 5 Year Total Return</w:t>
      </w:r>
    </w:p>
    <w:p>
      <w:pPr>
        <w:spacing w:after="0" w:line="130" w:lineRule="exact"/>
        <w:rPr>
          <w:sz w:val="20"/>
          <w:szCs w:val="20"/>
          <w:color w:val="auto"/>
        </w:rPr>
      </w:pPr>
    </w:p>
    <w:tbl>
      <w:tblPr>
        <w:tblLayout w:type="fixed"/>
        <w:tblInd w:w="960" w:type="dxa"/>
        <w:tblCellMar>
          <w:top w:w="0" w:type="dxa"/>
          <w:left w:w="0" w:type="dxa"/>
          <w:bottom w:w="0" w:type="dxa"/>
          <w:right w:w="0" w:type="dxa"/>
        </w:tblCellMar>
      </w:tblPr>
      <w:tr>
        <w:trPr>
          <w:trHeight w:val="197"/>
        </w:trPr>
        <w:tc>
          <w:tcPr>
            <w:tcW w:w="1140" w:type="dxa"/>
            <w:vAlign w:val="bottom"/>
          </w:tcPr>
          <w:p>
            <w:pPr>
              <w:jc w:val="right"/>
              <w:ind w:right="743"/>
              <w:spacing w:after="0"/>
              <w:rPr>
                <w:sz w:val="20"/>
                <w:szCs w:val="20"/>
                <w:color w:val="auto"/>
              </w:rPr>
            </w:pPr>
            <w:r>
              <w:rPr>
                <w:rFonts w:ascii="Arial" w:cs="Arial" w:eastAsia="Arial" w:hAnsi="Arial"/>
                <w:sz w:val="15"/>
                <w:szCs w:val="15"/>
                <w:color w:val="505050"/>
                <w:w w:val="89"/>
              </w:rPr>
              <w:t>$250</w:t>
            </w: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645"/>
        </w:trPr>
        <w:tc>
          <w:tcPr>
            <w:tcW w:w="1140" w:type="dxa"/>
            <w:vAlign w:val="bottom"/>
          </w:tcPr>
          <w:p>
            <w:pPr>
              <w:jc w:val="right"/>
              <w:ind w:right="743"/>
              <w:spacing w:after="0"/>
              <w:rPr>
                <w:sz w:val="20"/>
                <w:szCs w:val="20"/>
                <w:color w:val="auto"/>
              </w:rPr>
            </w:pPr>
            <w:r>
              <w:rPr>
                <w:rFonts w:ascii="Arial" w:cs="Arial" w:eastAsia="Arial" w:hAnsi="Arial"/>
                <w:sz w:val="15"/>
                <w:szCs w:val="15"/>
                <w:color w:val="505050"/>
                <w:w w:val="89"/>
              </w:rPr>
              <w:t>$200</w:t>
            </w:r>
          </w:p>
        </w:tc>
        <w:tc>
          <w:tcPr>
            <w:tcW w:w="1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46"/>
        </w:trPr>
        <w:tc>
          <w:tcPr>
            <w:tcW w:w="1140" w:type="dxa"/>
            <w:vAlign w:val="bottom"/>
          </w:tcPr>
          <w:p>
            <w:pPr>
              <w:jc w:val="right"/>
              <w:ind w:right="743"/>
              <w:spacing w:after="0"/>
              <w:rPr>
                <w:sz w:val="20"/>
                <w:szCs w:val="20"/>
                <w:color w:val="auto"/>
              </w:rPr>
            </w:pPr>
            <w:r>
              <w:rPr>
                <w:rFonts w:ascii="Arial" w:cs="Arial" w:eastAsia="Arial" w:hAnsi="Arial"/>
                <w:sz w:val="15"/>
                <w:szCs w:val="15"/>
                <w:color w:val="505050"/>
                <w:w w:val="89"/>
              </w:rPr>
              <w:t>$150</w:t>
            </w:r>
          </w:p>
        </w:tc>
        <w:tc>
          <w:tcPr>
            <w:tcW w:w="1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46"/>
        </w:trPr>
        <w:tc>
          <w:tcPr>
            <w:tcW w:w="1140" w:type="dxa"/>
            <w:vAlign w:val="bottom"/>
          </w:tcPr>
          <w:p>
            <w:pPr>
              <w:jc w:val="right"/>
              <w:ind w:right="743"/>
              <w:spacing w:after="0"/>
              <w:rPr>
                <w:sz w:val="20"/>
                <w:szCs w:val="20"/>
                <w:color w:val="auto"/>
              </w:rPr>
            </w:pPr>
            <w:r>
              <w:rPr>
                <w:rFonts w:ascii="Arial" w:cs="Arial" w:eastAsia="Arial" w:hAnsi="Arial"/>
                <w:sz w:val="15"/>
                <w:szCs w:val="15"/>
                <w:color w:val="505050"/>
                <w:w w:val="89"/>
              </w:rPr>
              <w:t>$100</w:t>
            </w:r>
          </w:p>
        </w:tc>
        <w:tc>
          <w:tcPr>
            <w:tcW w:w="1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45"/>
        </w:trPr>
        <w:tc>
          <w:tcPr>
            <w:tcW w:w="1140" w:type="dxa"/>
            <w:vAlign w:val="bottom"/>
          </w:tcPr>
          <w:p>
            <w:pPr>
              <w:jc w:val="right"/>
              <w:ind w:right="743"/>
              <w:spacing w:after="0"/>
              <w:rPr>
                <w:sz w:val="20"/>
                <w:szCs w:val="20"/>
                <w:color w:val="auto"/>
              </w:rPr>
            </w:pPr>
            <w:r>
              <w:rPr>
                <w:rFonts w:ascii="Arial" w:cs="Arial" w:eastAsia="Arial" w:hAnsi="Arial"/>
                <w:sz w:val="15"/>
                <w:szCs w:val="15"/>
                <w:color w:val="505050"/>
              </w:rPr>
              <w:t>$50</w:t>
            </w:r>
          </w:p>
        </w:tc>
        <w:tc>
          <w:tcPr>
            <w:tcW w:w="1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46"/>
        </w:trPr>
        <w:tc>
          <w:tcPr>
            <w:tcW w:w="1140" w:type="dxa"/>
            <w:vAlign w:val="bottom"/>
          </w:tcPr>
          <w:p>
            <w:pPr>
              <w:jc w:val="right"/>
              <w:ind w:right="743"/>
              <w:spacing w:after="0"/>
              <w:rPr>
                <w:sz w:val="20"/>
                <w:szCs w:val="20"/>
                <w:color w:val="auto"/>
              </w:rPr>
            </w:pPr>
            <w:r>
              <w:rPr>
                <w:rFonts w:ascii="Arial" w:cs="Arial" w:eastAsia="Arial" w:hAnsi="Arial"/>
                <w:sz w:val="15"/>
                <w:szCs w:val="15"/>
                <w:color w:val="505050"/>
              </w:rPr>
              <w:t>$0</w:t>
            </w:r>
          </w:p>
        </w:tc>
        <w:tc>
          <w:tcPr>
            <w:tcW w:w="1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1140" w:type="dxa"/>
            <w:vAlign w:val="bottom"/>
          </w:tcPr>
          <w:p>
            <w:pPr>
              <w:jc w:val="right"/>
              <w:ind w:right="223"/>
              <w:spacing w:after="0"/>
              <w:rPr>
                <w:sz w:val="20"/>
                <w:szCs w:val="20"/>
                <w:color w:val="auto"/>
              </w:rPr>
            </w:pPr>
            <w:r>
              <w:rPr>
                <w:rFonts w:ascii="Arial" w:cs="Arial" w:eastAsia="Arial" w:hAnsi="Arial"/>
                <w:sz w:val="15"/>
                <w:szCs w:val="15"/>
                <w:color w:val="505050"/>
              </w:rPr>
              <w:t>12/31/2020</w:t>
            </w:r>
          </w:p>
        </w:tc>
        <w:tc>
          <w:tcPr>
            <w:tcW w:w="1940" w:type="dxa"/>
            <w:vAlign w:val="bottom"/>
          </w:tcPr>
          <w:p>
            <w:pPr>
              <w:jc w:val="right"/>
              <w:ind w:right="563"/>
              <w:spacing w:after="0"/>
              <w:rPr>
                <w:sz w:val="20"/>
                <w:szCs w:val="20"/>
                <w:color w:val="auto"/>
              </w:rPr>
            </w:pPr>
            <w:r>
              <w:rPr>
                <w:rFonts w:ascii="Arial" w:cs="Arial" w:eastAsia="Arial" w:hAnsi="Arial"/>
                <w:sz w:val="15"/>
                <w:szCs w:val="15"/>
                <w:color w:val="505050"/>
              </w:rPr>
              <w:t>12/31/2021</w:t>
            </w:r>
          </w:p>
        </w:tc>
        <w:tc>
          <w:tcPr>
            <w:tcW w:w="1580" w:type="dxa"/>
            <w:vAlign w:val="bottom"/>
          </w:tcPr>
          <w:p>
            <w:pPr>
              <w:jc w:val="right"/>
              <w:ind w:right="543"/>
              <w:spacing w:after="0"/>
              <w:rPr>
                <w:sz w:val="20"/>
                <w:szCs w:val="20"/>
                <w:color w:val="auto"/>
              </w:rPr>
            </w:pPr>
            <w:r>
              <w:rPr>
                <w:rFonts w:ascii="Arial" w:cs="Arial" w:eastAsia="Arial" w:hAnsi="Arial"/>
                <w:sz w:val="15"/>
                <w:szCs w:val="15"/>
                <w:color w:val="505050"/>
              </w:rPr>
              <w:t>12/30/2022</w:t>
            </w:r>
          </w:p>
        </w:tc>
        <w:tc>
          <w:tcPr>
            <w:tcW w:w="1420" w:type="dxa"/>
            <w:vAlign w:val="bottom"/>
          </w:tcPr>
          <w:p>
            <w:pPr>
              <w:jc w:val="right"/>
              <w:ind w:right="363"/>
              <w:spacing w:after="0"/>
              <w:rPr>
                <w:sz w:val="20"/>
                <w:szCs w:val="20"/>
                <w:color w:val="auto"/>
              </w:rPr>
            </w:pPr>
            <w:r>
              <w:rPr>
                <w:rFonts w:ascii="Arial" w:cs="Arial" w:eastAsia="Arial" w:hAnsi="Arial"/>
                <w:sz w:val="15"/>
                <w:szCs w:val="15"/>
                <w:color w:val="505050"/>
              </w:rPr>
              <w:t>12/29/2023</w:t>
            </w:r>
          </w:p>
        </w:tc>
        <w:tc>
          <w:tcPr>
            <w:tcW w:w="1920" w:type="dxa"/>
            <w:vAlign w:val="bottom"/>
          </w:tcPr>
          <w:p>
            <w:pPr>
              <w:jc w:val="right"/>
              <w:ind w:right="683"/>
              <w:spacing w:after="0"/>
              <w:rPr>
                <w:sz w:val="20"/>
                <w:szCs w:val="20"/>
                <w:color w:val="auto"/>
              </w:rPr>
            </w:pPr>
            <w:r>
              <w:rPr>
                <w:rFonts w:ascii="Arial" w:cs="Arial" w:eastAsia="Arial" w:hAnsi="Arial"/>
                <w:sz w:val="15"/>
                <w:szCs w:val="15"/>
                <w:color w:val="505050"/>
              </w:rPr>
              <w:t>12/31/2024</w:t>
            </w:r>
          </w:p>
        </w:tc>
        <w:tc>
          <w:tcPr>
            <w:tcW w:w="820" w:type="dxa"/>
            <w:vAlign w:val="bottom"/>
          </w:tcPr>
          <w:p>
            <w:pPr>
              <w:jc w:val="right"/>
              <w:spacing w:after="0"/>
              <w:rPr>
                <w:sz w:val="20"/>
                <w:szCs w:val="20"/>
                <w:color w:val="auto"/>
              </w:rPr>
            </w:pPr>
            <w:r>
              <w:rPr>
                <w:rFonts w:ascii="Arial" w:cs="Arial" w:eastAsia="Arial" w:hAnsi="Arial"/>
                <w:sz w:val="15"/>
                <w:szCs w:val="15"/>
                <w:color w:val="505050"/>
              </w:rPr>
              <w:t>12/31/2025</w:t>
            </w:r>
          </w:p>
        </w:tc>
      </w:tr>
      <w:tr>
        <w:trPr>
          <w:trHeight w:val="341"/>
        </w:trPr>
        <w:tc>
          <w:tcPr>
            <w:tcW w:w="1140" w:type="dxa"/>
            <w:vAlign w:val="bottom"/>
          </w:tcPr>
          <w:p>
            <w:pPr>
              <w:spacing w:after="0"/>
              <w:rPr>
                <w:sz w:val="24"/>
                <w:szCs w:val="24"/>
                <w:color w:val="auto"/>
              </w:rPr>
            </w:pPr>
          </w:p>
        </w:tc>
        <w:tc>
          <w:tcPr>
            <w:tcW w:w="1940" w:type="dxa"/>
            <w:vAlign w:val="bottom"/>
          </w:tcPr>
          <w:p>
            <w:pPr>
              <w:jc w:val="right"/>
              <w:ind w:right="183"/>
              <w:spacing w:after="0"/>
              <w:rPr>
                <w:sz w:val="20"/>
                <w:szCs w:val="20"/>
                <w:color w:val="auto"/>
              </w:rPr>
            </w:pPr>
            <w:r>
              <w:rPr>
                <w:rFonts w:ascii="Arial" w:cs="Arial" w:eastAsia="Arial" w:hAnsi="Arial"/>
                <w:sz w:val="15"/>
                <w:szCs w:val="15"/>
                <w:color w:val="505050"/>
              </w:rPr>
              <w:t>Vistance Networks, Inc</w:t>
            </w:r>
          </w:p>
        </w:tc>
        <w:tc>
          <w:tcPr>
            <w:tcW w:w="1580" w:type="dxa"/>
            <w:vAlign w:val="bottom"/>
          </w:tcPr>
          <w:p>
            <w:pPr>
              <w:jc w:val="right"/>
              <w:ind w:right="163"/>
              <w:spacing w:after="0"/>
              <w:rPr>
                <w:sz w:val="20"/>
                <w:szCs w:val="20"/>
                <w:color w:val="auto"/>
              </w:rPr>
            </w:pPr>
            <w:r>
              <w:rPr>
                <w:rFonts w:ascii="Arial" w:cs="Arial" w:eastAsia="Arial" w:hAnsi="Arial"/>
                <w:sz w:val="15"/>
                <w:szCs w:val="15"/>
                <w:color w:val="505050"/>
              </w:rPr>
              <w:t>S&amp;P 500 Index</w:t>
            </w:r>
          </w:p>
        </w:tc>
        <w:tc>
          <w:tcPr>
            <w:tcW w:w="3340" w:type="dxa"/>
            <w:vAlign w:val="bottom"/>
            <w:gridSpan w:val="2"/>
          </w:tcPr>
          <w:p>
            <w:pPr>
              <w:jc w:val="right"/>
              <w:ind w:right="43"/>
              <w:spacing w:after="0"/>
              <w:rPr>
                <w:sz w:val="20"/>
                <w:szCs w:val="20"/>
                <w:color w:val="auto"/>
              </w:rPr>
            </w:pPr>
            <w:r>
              <w:rPr>
                <w:rFonts w:ascii="Arial" w:cs="Arial" w:eastAsia="Arial" w:hAnsi="Arial"/>
                <w:sz w:val="15"/>
                <w:szCs w:val="15"/>
                <w:color w:val="505050"/>
              </w:rPr>
              <w:t>S&amp;P 1500 Communications Equipment Index</w:t>
            </w: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-2449830</wp:posOffset>
            </wp:positionV>
            <wp:extent cx="5175250" cy="2085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5175250" cy="2085340"/>
                    </a:xfrm>
                    <a:prstGeom prst="rect">
                      <a:avLst/>
                    </a:prstGeom>
                    <a:noFill/>
                  </pic:spPr>
                </pic:pic>
              </a:graphicData>
            </a:graphic>
          </wp:anchor>
        </w:drawing>
        <w:drawing>
          <wp:anchor simplePos="0" relativeHeight="251657728" behindDoc="1" locked="0" layoutInCell="0" allowOverlap="1">
            <wp:simplePos x="0" y="0"/>
            <wp:positionH relativeFrom="column">
              <wp:posOffset>1285240</wp:posOffset>
            </wp:positionH>
            <wp:positionV relativeFrom="paragraph">
              <wp:posOffset>-124460</wp:posOffset>
            </wp:positionV>
            <wp:extent cx="208280" cy="141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208280" cy="14160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-81280</wp:posOffset>
            </wp:positionV>
            <wp:extent cx="208280" cy="54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208280" cy="5461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-124460</wp:posOffset>
            </wp:positionV>
            <wp:extent cx="208280" cy="141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20828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Base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tcPr>
          <w:p>
            <w:pPr>
              <w:jc w:val="center"/>
              <w:ind w:left="807"/>
              <w:spacing w:after="0"/>
              <w:rPr>
                <w:sz w:val="20"/>
                <w:szCs w:val="20"/>
                <w:color w:val="auto"/>
              </w:rPr>
            </w:pPr>
            <w:r>
              <w:rPr>
                <w:rFonts w:ascii="Times New Roman" w:cs="Times New Roman" w:eastAsia="Times New Roman" w:hAnsi="Times New Roman"/>
                <w:sz w:val="16"/>
                <w:szCs w:val="16"/>
                <w:b w:val="1"/>
                <w:bCs w:val="1"/>
                <w:color w:val="1E1E1E"/>
                <w:w w:val="99"/>
              </w:rPr>
              <w:t>INDEXED RETURNS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Period</w:t>
            </w:r>
          </w:p>
        </w:tc>
        <w:tc>
          <w:tcPr>
            <w:tcW w:w="2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1E1E1E"/>
                <w:w w:val="98"/>
              </w:rPr>
              <w:t>Period Ending</w:t>
            </w: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6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1E1E1E"/>
              </w:rPr>
              <w:t>Company / Index</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6"/>
                <w:szCs w:val="16"/>
                <w:b w:val="1"/>
                <w:bCs w:val="1"/>
                <w:color w:val="1E1E1E"/>
              </w:rPr>
              <w:t>12/31/2020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12/31/2021</w:t>
            </w:r>
          </w:p>
        </w:tc>
        <w:tc>
          <w:tcPr>
            <w:tcW w:w="124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b w:val="1"/>
                <w:bCs w:val="1"/>
                <w:color w:val="1E1E1E"/>
              </w:rPr>
              <w:t>12/31/2022</w:t>
            </w:r>
          </w:p>
        </w:tc>
        <w:tc>
          <w:tcPr>
            <w:tcW w:w="1220" w:type="dxa"/>
            <w:vAlign w:val="bottom"/>
            <w:gridSpan w:val="2"/>
          </w:tcPr>
          <w:p>
            <w:pPr>
              <w:jc w:val="center"/>
              <w:ind w:left="153"/>
              <w:spacing w:after="0"/>
              <w:rPr>
                <w:sz w:val="20"/>
                <w:szCs w:val="20"/>
                <w:color w:val="auto"/>
              </w:rPr>
            </w:pPr>
            <w:r>
              <w:rPr>
                <w:rFonts w:ascii="Times New Roman" w:cs="Times New Roman" w:eastAsia="Times New Roman" w:hAnsi="Times New Roman"/>
                <w:sz w:val="16"/>
                <w:szCs w:val="16"/>
                <w:b w:val="1"/>
                <w:bCs w:val="1"/>
                <w:color w:val="1E1E1E"/>
              </w:rPr>
              <w:t>12/31/2023</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6"/>
                <w:szCs w:val="16"/>
                <w:b w:val="1"/>
                <w:bCs w:val="1"/>
                <w:color w:val="1E1E1E"/>
              </w:rPr>
              <w:t>12/31/2024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12/31/2025</w:t>
            </w:r>
          </w:p>
        </w:tc>
        <w:tc>
          <w:tcPr>
            <w:tcW w:w="60" w:type="dxa"/>
            <w:vAlign w:val="bottom"/>
          </w:tcPr>
          <w:p>
            <w:pPr>
              <w:spacing w:after="0"/>
              <w:rPr>
                <w:sz w:val="23"/>
                <w:szCs w:val="23"/>
                <w:color w:val="auto"/>
              </w:rPr>
            </w:pPr>
          </w:p>
        </w:tc>
      </w:tr>
      <w:tr>
        <w:trPr>
          <w:trHeight w:val="244"/>
        </w:trPr>
        <w:tc>
          <w:tcPr>
            <w:tcW w:w="3480" w:type="dxa"/>
            <w:vAlign w:val="bottom"/>
            <w:tcBorders>
              <w:top w:val="single" w:sz="8" w:color="auto"/>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Vistance Networks, Inc.</w:t>
            </w:r>
          </w:p>
        </w:tc>
        <w:tc>
          <w:tcPr>
            <w:tcW w:w="160" w:type="dxa"/>
            <w:vAlign w:val="bottom"/>
            <w:tcBorders>
              <w:top w:val="single" w:sz="8" w:color="E1E1E1"/>
            </w:tcBorders>
            <w:shd w:val="clear" w:color="auto" w:fill="E1E1E1"/>
          </w:tcPr>
          <w:p>
            <w:pPr>
              <w:spacing w:after="0"/>
              <w:rPr>
                <w:sz w:val="21"/>
                <w:szCs w:val="21"/>
                <w:color w:val="auto"/>
              </w:rPr>
            </w:pPr>
          </w:p>
        </w:tc>
        <w:tc>
          <w:tcPr>
            <w:tcW w:w="960" w:type="dxa"/>
            <w:vAlign w:val="bottom"/>
            <w:tcBorders>
              <w:top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260" w:type="dxa"/>
            <w:vAlign w:val="bottom"/>
            <w:tcBorders>
              <w:top w:val="single" w:sz="8" w:color="E1E1E1"/>
            </w:tcBorders>
            <w:shd w:val="clear" w:color="auto" w:fill="E1E1E1"/>
          </w:tcPr>
          <w:p>
            <w:pPr>
              <w:spacing w:after="0"/>
              <w:rPr>
                <w:sz w:val="21"/>
                <w:szCs w:val="21"/>
                <w:color w:val="auto"/>
              </w:rPr>
            </w:pPr>
          </w:p>
        </w:tc>
        <w:tc>
          <w:tcPr>
            <w:tcW w:w="960" w:type="dxa"/>
            <w:vAlign w:val="bottom"/>
            <w:tcBorders>
              <w:top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82.39</w:t>
            </w:r>
          </w:p>
        </w:tc>
        <w:tc>
          <w:tcPr>
            <w:tcW w:w="260" w:type="dxa"/>
            <w:vAlign w:val="bottom"/>
            <w:tcBorders>
              <w:top w:val="single" w:sz="8" w:color="E1E1E1"/>
            </w:tcBorders>
            <w:shd w:val="clear" w:color="auto" w:fill="E1E1E1"/>
          </w:tcPr>
          <w:p>
            <w:pPr>
              <w:spacing w:after="0"/>
              <w:rPr>
                <w:sz w:val="21"/>
                <w:szCs w:val="21"/>
                <w:color w:val="auto"/>
              </w:rPr>
            </w:pPr>
          </w:p>
        </w:tc>
        <w:tc>
          <w:tcPr>
            <w:tcW w:w="980" w:type="dxa"/>
            <w:vAlign w:val="bottom"/>
            <w:tcBorders>
              <w:top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54.85</w:t>
            </w:r>
          </w:p>
        </w:tc>
        <w:tc>
          <w:tcPr>
            <w:tcW w:w="260" w:type="dxa"/>
            <w:vAlign w:val="bottom"/>
            <w:tcBorders>
              <w:top w:val="single" w:sz="8" w:color="E1E1E1"/>
            </w:tcBorders>
            <w:shd w:val="clear" w:color="auto" w:fill="E1E1E1"/>
          </w:tcPr>
          <w:p>
            <w:pPr>
              <w:spacing w:after="0"/>
              <w:rPr>
                <w:sz w:val="21"/>
                <w:szCs w:val="21"/>
                <w:color w:val="auto"/>
              </w:rPr>
            </w:pPr>
          </w:p>
        </w:tc>
        <w:tc>
          <w:tcPr>
            <w:tcW w:w="960" w:type="dxa"/>
            <w:vAlign w:val="bottom"/>
            <w:tcBorders>
              <w:top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21.04</w:t>
            </w:r>
          </w:p>
        </w:tc>
        <w:tc>
          <w:tcPr>
            <w:tcW w:w="260" w:type="dxa"/>
            <w:vAlign w:val="bottom"/>
            <w:tcBorders>
              <w:top w:val="single" w:sz="8" w:color="E1E1E1"/>
            </w:tcBorders>
            <w:shd w:val="clear" w:color="auto" w:fill="E1E1E1"/>
          </w:tcPr>
          <w:p>
            <w:pPr>
              <w:spacing w:after="0"/>
              <w:rPr>
                <w:sz w:val="21"/>
                <w:szCs w:val="21"/>
                <w:color w:val="auto"/>
              </w:rPr>
            </w:pPr>
          </w:p>
        </w:tc>
        <w:tc>
          <w:tcPr>
            <w:tcW w:w="60" w:type="dxa"/>
            <w:vAlign w:val="bottom"/>
            <w:tcBorders>
              <w:top w:val="single" w:sz="8" w:color="auto"/>
            </w:tcBorders>
            <w:shd w:val="clear" w:color="auto" w:fill="E1E1E1"/>
          </w:tcPr>
          <w:p>
            <w:pPr>
              <w:spacing w:after="0"/>
              <w:rPr>
                <w:sz w:val="21"/>
                <w:szCs w:val="21"/>
                <w:color w:val="auto"/>
              </w:rPr>
            </w:pPr>
          </w:p>
        </w:tc>
        <w:tc>
          <w:tcPr>
            <w:tcW w:w="900" w:type="dxa"/>
            <w:vAlign w:val="bottom"/>
            <w:tcBorders>
              <w:top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38.88</w:t>
            </w:r>
          </w:p>
        </w:tc>
        <w:tc>
          <w:tcPr>
            <w:tcW w:w="260" w:type="dxa"/>
            <w:vAlign w:val="bottom"/>
            <w:tcBorders>
              <w:top w:val="single" w:sz="8" w:color="E1E1E1"/>
            </w:tcBorders>
            <w:shd w:val="clear" w:color="auto" w:fill="E1E1E1"/>
          </w:tcPr>
          <w:p>
            <w:pPr>
              <w:spacing w:after="0"/>
              <w:rPr>
                <w:sz w:val="21"/>
                <w:szCs w:val="21"/>
                <w:color w:val="auto"/>
              </w:rPr>
            </w:pPr>
          </w:p>
        </w:tc>
        <w:tc>
          <w:tcPr>
            <w:tcW w:w="980" w:type="dxa"/>
            <w:vAlign w:val="bottom"/>
            <w:tcBorders>
              <w:top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135.30</w:t>
            </w:r>
          </w:p>
        </w:tc>
        <w:tc>
          <w:tcPr>
            <w:tcW w:w="60" w:type="dxa"/>
            <w:vAlign w:val="bottom"/>
            <w:tcBorders>
              <w:top w:val="single" w:sz="8" w:color="E1E1E1"/>
            </w:tcBorders>
            <w:shd w:val="clear" w:color="auto" w:fill="E1E1E1"/>
          </w:tcPr>
          <w:p>
            <w:pPr>
              <w:spacing w:after="0"/>
              <w:rPr>
                <w:sz w:val="21"/>
                <w:szCs w:val="21"/>
                <w:color w:val="auto"/>
              </w:rPr>
            </w:pPr>
          </w:p>
        </w:tc>
      </w:tr>
      <w:tr>
        <w:trPr>
          <w:trHeight w:val="244"/>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1E1E1E"/>
              </w:rPr>
              <w:t>S&amp;P 500 Index</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128.71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105.40</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133.10</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166.40</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196.16</w:t>
            </w:r>
          </w:p>
        </w:tc>
        <w:tc>
          <w:tcPr>
            <w:tcW w:w="60" w:type="dxa"/>
            <w:vAlign w:val="bottom"/>
          </w:tcPr>
          <w:p>
            <w:pPr>
              <w:spacing w:after="0"/>
              <w:rPr>
                <w:sz w:val="21"/>
                <w:szCs w:val="21"/>
                <w:color w:val="auto"/>
              </w:rPr>
            </w:pPr>
          </w:p>
        </w:tc>
      </w:tr>
      <w:tr>
        <w:trPr>
          <w:trHeight w:val="223"/>
        </w:trPr>
        <w:tc>
          <w:tcPr>
            <w:tcW w:w="3480" w:type="dxa"/>
            <w:vAlign w:val="bottom"/>
            <w:shd w:val="clear" w:color="auto" w:fill="E1E1E1"/>
          </w:tcPr>
          <w:p>
            <w:pPr>
              <w:spacing w:after="0" w:line="223" w:lineRule="exact"/>
              <w:rPr>
                <w:sz w:val="20"/>
                <w:szCs w:val="20"/>
                <w:color w:val="auto"/>
              </w:rPr>
            </w:pPr>
            <w:r>
              <w:rPr>
                <w:rFonts w:ascii="Times New Roman" w:cs="Times New Roman" w:eastAsia="Times New Roman" w:hAnsi="Times New Roman"/>
                <w:sz w:val="20"/>
                <w:szCs w:val="20"/>
                <w:color w:val="1E1E1E"/>
              </w:rPr>
              <w:t>S&amp;P 1500 Communications</w:t>
            </w:r>
          </w:p>
        </w:tc>
        <w:tc>
          <w:tcPr>
            <w:tcW w:w="160" w:type="dxa"/>
            <w:vAlign w:val="bottom"/>
            <w:shd w:val="clear" w:color="auto" w:fill="E1E1E1"/>
          </w:tcPr>
          <w:p>
            <w:pPr>
              <w:spacing w:after="0"/>
              <w:rPr>
                <w:sz w:val="19"/>
                <w:szCs w:val="19"/>
                <w:color w:val="auto"/>
              </w:rPr>
            </w:pPr>
          </w:p>
        </w:tc>
        <w:tc>
          <w:tcPr>
            <w:tcW w:w="96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96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98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96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90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980" w:type="dxa"/>
            <w:vAlign w:val="bottom"/>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r>
      <w:tr>
        <w:trPr>
          <w:trHeight w:val="251"/>
        </w:trPr>
        <w:tc>
          <w:tcPr>
            <w:tcW w:w="3480" w:type="dxa"/>
            <w:vAlign w:val="bottom"/>
            <w:shd w:val="clear" w:color="auto" w:fill="E1E1E1"/>
          </w:tcPr>
          <w:p>
            <w:pPr>
              <w:ind w:left="160"/>
              <w:spacing w:after="0"/>
              <w:rPr>
                <w:sz w:val="20"/>
                <w:szCs w:val="20"/>
                <w:color w:val="auto"/>
              </w:rPr>
            </w:pPr>
            <w:r>
              <w:rPr>
                <w:rFonts w:ascii="Times New Roman" w:cs="Times New Roman" w:eastAsia="Times New Roman" w:hAnsi="Times New Roman"/>
                <w:sz w:val="20"/>
                <w:szCs w:val="20"/>
                <w:color w:val="1E1E1E"/>
              </w:rPr>
              <w:t>Equipment Index</w:t>
            </w:r>
          </w:p>
        </w:tc>
        <w:tc>
          <w:tcPr>
            <w:tcW w:w="11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12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121.33</w:t>
            </w:r>
          </w:p>
        </w:tc>
        <w:tc>
          <w:tcPr>
            <w:tcW w:w="124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73.21</w:t>
            </w:r>
          </w:p>
        </w:tc>
        <w:tc>
          <w:tcPr>
            <w:tcW w:w="12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112.95</w:t>
            </w:r>
          </w:p>
        </w:tc>
        <w:tc>
          <w:tcPr>
            <w:tcW w:w="26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157.66</w:t>
            </w:r>
          </w:p>
        </w:tc>
        <w:tc>
          <w:tcPr>
            <w:tcW w:w="124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210.09</w:t>
            </w:r>
          </w:p>
        </w:tc>
        <w:tc>
          <w:tcPr>
            <w:tcW w:w="60" w:type="dxa"/>
            <w:vAlign w:val="bottom"/>
            <w:shd w:val="clear" w:color="auto" w:fill="E1E1E1"/>
          </w:tcPr>
          <w:p>
            <w:pPr>
              <w:spacing w:after="0"/>
              <w:rPr>
                <w:sz w:val="21"/>
                <w:szCs w:val="2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6. RESERVED</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36</w:t>
      </w:r>
    </w:p>
    <w:p>
      <w:pPr>
        <w:sectPr>
          <w:pgSz w:w="11880" w:h="15480" w:orient="portrait"/>
          <w:cols w:equalWidth="0" w:num="1">
            <w:col w:w="10800"/>
          </w:cols>
          <w:pgMar w:left="540" w:top="1235" w:right="540" w:bottom="0" w:gutter="0" w:footer="0" w:header="0"/>
          <w:type w:val="continuous"/>
        </w:sectPr>
      </w:pPr>
    </w:p>
    <w:bookmarkStart w:id="46" w:name="page47"/>
    <w:bookmarkEnd w:id="46"/>
    <w:p>
      <w:pPr>
        <w:ind w:right="1000"/>
        <w:spacing w:after="0" w:line="287" w:lineRule="auto"/>
        <w:rPr>
          <w:sz w:val="20"/>
          <w:szCs w:val="20"/>
          <w:color w:val="auto"/>
        </w:rPr>
      </w:pPr>
      <w:r>
        <w:rPr>
          <w:rFonts w:ascii="Times New Roman" w:cs="Times New Roman" w:eastAsia="Times New Roman" w:hAnsi="Times New Roman"/>
          <w:sz w:val="20"/>
          <w:szCs w:val="20"/>
          <w:b w:val="1"/>
          <w:bCs w:val="1"/>
          <w:color w:val="1E1E1E"/>
        </w:rPr>
        <w:t>ITEM 7. MANAGEMENT’S DISCUSSION AND ANALYSIS OF FINANCIAL CONDITION AND RESULTS OF OPERATIONS</w:t>
      </w:r>
    </w:p>
    <w:p>
      <w:pPr>
        <w:spacing w:after="0" w:line="3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i w:val="1"/>
          <w:iCs w:val="1"/>
          <w:color w:val="1E1E1E"/>
        </w:rPr>
        <w:t>The following discussion and analysis of our financial condition and results of operations is for the year ended December 31, 2025 compared with the year ended December 31, 2024. This comparison should be read in conjunction with our consolidated financial statements and related notes appearing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included in Part I, Item 1A or in other parts of this Annual Report on Form 10-K. For a discussion and analysis of our financial condition and results of operations for the year ended December 31, 2024 compared to December 31, 2023, see Part II, Item 7, “Management’s Discussion and Analysis of Financial Condition and Results of Operations” included in the 2024 Annual Report on Form 10-K, filed with the Securities and Exchange Commission on February 26, 2025.</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123"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1E1E1E"/>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20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Since 2021, we have been engaged in a transformation initiative designed to drive shareholder value through three pillars: profitable growth, operational efficiency and portfolio optimization. We continue to focus on driving operational efficiencies and other cost savings initiatives, as well as portfolio optimization, all of which enabled us to take advantage of the recovery in demand that we started to see beginning in late 2024 and continuing through 2025. We continue to analyze the impacts of the recently announced tariffs under the current U.S. administration; however, we believe we have a manageable plan in place to prepare for potential impacts. Our approach of focusing on matters in our control has driven improved results in 2025 and will remain our focus into 2026. As a result, we incurred $19.7 million, $36.7 million and $29.4 million of net restructuring costs and $29.9 million, $63.4 million and $27.1 million of transaction, transformation and integration costs during the years ended December 31, 2025, 2024 and 2023, respectively, primarily related to our transformation initiative. We expect to continue to incur such costs during 2026 as we continue executing on our transformation initiative, and the resulting charges and cash requirements could be material.</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1E1E1E"/>
        </w:rPr>
        <w:t>During the years ended December 31, 2023, 2024 and 2025, we executed several strategic transactions that are further described in Note 3 and Note 4 in the Notes to Consolidated Financial Statements included elsewhere in this Annual Report on Form 10-K. These transactions included the acquisition of certain assets of Casa Systems, Inc. (Casa), as well as multiple divestitures, including the Home business, the Outdoor Wireless Networks (OWN) segment, the Distributed Antenna Systems (DAS) business unit, the OneCell business, and the Connectivity and Cable Solutions (CCS) segment. Several of these divestitures met the criteria for discontinued</w:t>
      </w:r>
    </w:p>
    <w:p>
      <w:pPr>
        <w:spacing w:after="0" w:line="5"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1E1E1E"/>
        </w:rPr>
        <w:t>operations under Accounting Standard Codification (ASC) 205</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 xml:space="preserve">20, </w:t>
      </w:r>
      <w:r>
        <w:rPr>
          <w:rFonts w:ascii="Times New Roman" w:cs="Times New Roman" w:eastAsia="Times New Roman" w:hAnsi="Times New Roman"/>
          <w:sz w:val="20"/>
          <w:szCs w:val="20"/>
          <w:i w:val="1"/>
          <w:iCs w:val="1"/>
          <w:color w:val="1E1E1E"/>
        </w:rPr>
        <w:t>Presentation of Financial Statements—Discontinued Operations</w:t>
      </w:r>
    </w:p>
    <w:p>
      <w:pPr>
        <w:spacing w:after="0" w:line="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1E1E1E"/>
        </w:rPr>
        <w:t xml:space="preserve">and "held for sale" classification under ASC 360-10, </w:t>
      </w:r>
      <w:r>
        <w:rPr>
          <w:rFonts w:ascii="Times New Roman" w:cs="Times New Roman" w:eastAsia="Times New Roman" w:hAnsi="Times New Roman"/>
          <w:sz w:val="20"/>
          <w:szCs w:val="20"/>
          <w:i w:val="1"/>
          <w:iCs w:val="1"/>
          <w:color w:val="1E1E1E"/>
        </w:rPr>
        <w:t>Impairment and Disposal of Long Lived Assets.</w:t>
      </w:r>
      <w:r>
        <w:rPr>
          <w:rFonts w:ascii="Times New Roman" w:cs="Times New Roman" w:eastAsia="Times New Roman" w:hAnsi="Times New Roman"/>
          <w:sz w:val="20"/>
          <w:szCs w:val="20"/>
          <w:color w:val="1E1E1E"/>
        </w:rPr>
        <w:t xml:space="preserve"> Detailed financial information, gain or loss recognition, held for sale measurements, and the related balance sheet, statement of operations, and statement of cash flow impacts are included within those notes.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Segment Renaming</w:t>
      </w:r>
    </w:p>
    <w:p>
      <w:pPr>
        <w:spacing w:after="0" w:line="1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Effective April 1, 2025, following the divestiture of the DAS business unit, we renamed our Networking, Intelligent Cellular &amp; Security Solutions (NICS) segment to RUCKUS. The name change did not impact our operating or reportable segment structure, chief operating decision maker (CODM) reporting, or historical segment results. Historical activities occurring prior to the effective date are referenced under the former NICS name.</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In connection with the divestiture of the CCS segment, and effective upon the closing of that transaction on January 9, 2026, we renamed our Access Network Solutions (ANS) segment to Aurora Networks (Aurora). The name change did not alter our operating or reportable segments, the information reviewed by the CODM, or previously reported segment results. Historical activities occurring prior to the effective date are referenced under the former ANS name.</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37</w:t>
      </w:r>
    </w:p>
    <w:p>
      <w:pPr>
        <w:sectPr>
          <w:pgSz w:w="11880" w:h="15480" w:orient="portrait"/>
          <w:cols w:equalWidth="0" w:num="1">
            <w:col w:w="10800"/>
          </w:cols>
          <w:pgMar w:left="540" w:top="1235" w:right="54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1E1E1E"/>
        </w:rPr>
        <w:t>Operating Segment Realignments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better align product oversight with how the business is managed:</w:t>
      </w:r>
    </w:p>
    <w:p>
      <w:pPr>
        <w:spacing w:after="0" w:line="134" w:lineRule="exact"/>
        <w:rPr>
          <w:sz w:val="20"/>
          <w:szCs w:val="20"/>
          <w:color w:val="auto"/>
        </w:rPr>
      </w:pPr>
    </w:p>
    <w:p>
      <w:pPr>
        <w:ind w:left="980" w:hanging="490"/>
        <w:spacing w:after="0" w:line="278" w:lineRule="auto"/>
        <w:tabs>
          <w:tab w:leader="none" w:pos="980" w:val="left"/>
        </w:tabs>
        <w:numPr>
          <w:ilvl w:val="0"/>
          <w:numId w:val="35"/>
        </w:numPr>
        <w:rPr>
          <w:rFonts w:ascii="Arial" w:cs="Arial" w:eastAsia="Arial" w:hAnsi="Arial"/>
          <w:sz w:val="20"/>
          <w:szCs w:val="20"/>
          <w:color w:val="1E1E1E"/>
        </w:rPr>
      </w:pPr>
      <w:r>
        <w:rPr>
          <w:rFonts w:ascii="Times New Roman" w:cs="Times New Roman" w:eastAsia="Times New Roman" w:hAnsi="Times New Roman"/>
          <w:sz w:val="20"/>
          <w:szCs w:val="20"/>
          <w:color w:val="1E1E1E"/>
        </w:rPr>
        <w:t>Effective January 1, 2025, a product line was transferred from the RUCKUS (formerly NICS) segment to the Aurora (formerly ANS) segment.</w:t>
      </w:r>
    </w:p>
    <w:p>
      <w:pPr>
        <w:spacing w:after="0" w:line="60" w:lineRule="exact"/>
        <w:rPr>
          <w:rFonts w:ascii="Arial" w:cs="Arial" w:eastAsia="Arial" w:hAnsi="Arial"/>
          <w:sz w:val="20"/>
          <w:szCs w:val="20"/>
          <w:color w:val="1E1E1E"/>
        </w:rPr>
      </w:pPr>
    </w:p>
    <w:p>
      <w:pPr>
        <w:ind w:left="980" w:hanging="490"/>
        <w:spacing w:after="0" w:line="278" w:lineRule="auto"/>
        <w:tabs>
          <w:tab w:leader="none" w:pos="980" w:val="left"/>
        </w:tabs>
        <w:numPr>
          <w:ilvl w:val="0"/>
          <w:numId w:val="35"/>
        </w:numPr>
        <w:rPr>
          <w:rFonts w:ascii="Arial" w:cs="Arial" w:eastAsia="Arial" w:hAnsi="Arial"/>
          <w:sz w:val="20"/>
          <w:szCs w:val="20"/>
          <w:color w:val="1E1E1E"/>
        </w:rPr>
      </w:pPr>
      <w:r>
        <w:rPr>
          <w:rFonts w:ascii="Times New Roman" w:cs="Times New Roman" w:eastAsia="Times New Roman" w:hAnsi="Times New Roman"/>
          <w:sz w:val="20"/>
          <w:szCs w:val="20"/>
          <w:color w:val="1E1E1E"/>
        </w:rPr>
        <w:t>Effective January 1, 2024, certain product lines were transferred from the CCS segment (which became a discontinued operation in the fourth quarter of 2025) to the Aurora (formerly ANS) segment.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All prior periods presented have been recast to reflect these organizational changes.</w:t>
      </w:r>
    </w:p>
    <w:p>
      <w:pPr>
        <w:spacing w:after="0" w:line="2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Unless otherwise noted, the following discussions relate solely to our continuing operations. As a result, we are reporting financial performance based on the following remaining reportable segments: RUCKUS and Aurora. For further discussion of the discontinued operations related to our CCS segment, OWN segment, DAS business unit and Home business, see Note 4 in the Notes to Consolidated Financial Statements included elsewhere in the Annual Report on Form 10-K.</w:t>
      </w:r>
    </w:p>
    <w:p>
      <w:pPr>
        <w:spacing w:after="0" w:line="19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1E1E1E"/>
        </w:rPr>
        <w:t>Our continuing operations results include general corporate costs that were previously allocated to the CCS segment, OWN segment and DAS business unit. These indirect costs, reflected on the corporate and other line item within our segment information below, are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our transition service agreement with Amphenol Corporation (Amphenol TSA). The corporate and other costs related to the CCS segment will be reallocated to our remaining segments beginning in the first quarter of 2026.</w:t>
      </w:r>
    </w:p>
    <w:p>
      <w:pPr>
        <w:spacing w:after="0" w:line="20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1E1E1E"/>
        </w:rPr>
        <w:t>Additionally, below we refer to certain supplementary Core financial measures, which reflect the results of the RUCKUS and Aurora segments, in the aggregate, and exclude general corporate costs that were previously allocated to the CCS segment, OWN segment and DAS business unit, since these costs were not directly attributable to the discontinued operations. The Core results represent the business results as currently managed and reported by the Company. Future results and the composition of any business divested in the future may vary and differ materially from the presentation of the Core financial measures. See the “Segment Results” section below for the aggregation of our Core financial measures.</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38</w:t>
      </w:r>
    </w:p>
    <w:p>
      <w:pPr>
        <w:sectPr>
          <w:pgSz w:w="11880" w:h="15480" w:orient="portrait"/>
          <w:cols w:equalWidth="0" w:num="1">
            <w:col w:w="10800"/>
          </w:cols>
          <w:pgMar w:left="540" w:top="1235" w:right="540" w:bottom="0" w:gutter="0" w:footer="0" w:header="0"/>
          <w:type w:val="continuous"/>
        </w:sectPr>
      </w:pPr>
    </w:p>
    <w:bookmarkStart w:id="48" w:name="page49"/>
    <w:bookmarkEnd w:id="48"/>
    <w:p>
      <w:pPr>
        <w:ind w:left="4100"/>
        <w:spacing w:after="0"/>
        <w:rPr>
          <w:sz w:val="20"/>
          <w:szCs w:val="20"/>
          <w:color w:val="auto"/>
        </w:rPr>
      </w:pPr>
      <w:r>
        <w:rPr>
          <w:rFonts w:ascii="Times New Roman" w:cs="Times New Roman" w:eastAsia="Times New Roman" w:hAnsi="Times New Roman"/>
          <w:sz w:val="20"/>
          <w:szCs w:val="20"/>
          <w:b w:val="1"/>
          <w:bCs w:val="1"/>
          <w:color w:val="1E1E1E"/>
        </w:rPr>
        <w:t>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Comparison of results of operations for the year ended December 31, 2025 with the year ended December 31, 2024</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340" w:type="dxa"/>
            <w:vAlign w:val="bottom"/>
            <w:tcBorders>
              <w:bottom w:val="single" w:sz="8" w:color="1E1E1E"/>
            </w:tcBorders>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20" w:type="dxa"/>
            <w:vAlign w:val="bottom"/>
            <w:tcBorders>
              <w:bottom w:val="single" w:sz="8" w:color="1E1E1E"/>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040" w:type="dxa"/>
            <w:vAlign w:val="bottom"/>
            <w:tcBorders>
              <w:bottom w:val="single" w:sz="8" w:color="1E1E1E"/>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20" w:type="dxa"/>
            <w:vAlign w:val="bottom"/>
            <w:tcBorders>
              <w:bottom w:val="single" w:sz="8" w:color="1E1E1E"/>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1E1E1E"/>
            </w:tcBorders>
          </w:tcPr>
          <w:p>
            <w:pPr>
              <w:spacing w:after="0"/>
              <w:rPr>
                <w:sz w:val="16"/>
                <w:szCs w:val="16"/>
                <w:color w:val="auto"/>
              </w:rPr>
            </w:pPr>
          </w:p>
        </w:tc>
        <w:tc>
          <w:tcPr>
            <w:tcW w:w="104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20" w:type="dxa"/>
            <w:vAlign w:val="bottom"/>
            <w:tcBorders>
              <w:bottom w:val="single" w:sz="8" w:color="1E1E1E"/>
            </w:tcBorders>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vMerge w:val="restart"/>
          </w:tcPr>
          <w:p>
            <w:pPr>
              <w:jc w:val="right"/>
              <w:ind w:right="224"/>
              <w:spacing w:after="0"/>
              <w:rPr>
                <w:sz w:val="20"/>
                <w:szCs w:val="20"/>
                <w:color w:val="auto"/>
              </w:rPr>
            </w:pPr>
            <w:r>
              <w:rPr>
                <w:rFonts w:ascii="Times New Roman" w:cs="Times New Roman" w:eastAsia="Times New Roman" w:hAnsi="Times New Roman"/>
                <w:sz w:val="16"/>
                <w:szCs w:val="16"/>
                <w:b w:val="1"/>
                <w:bCs w:val="1"/>
                <w:color w:val="1E1E1E"/>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7"/>
              <w:spacing w:after="0" w:line="174" w:lineRule="exact"/>
              <w:rPr>
                <w:sz w:val="20"/>
                <w:szCs w:val="20"/>
                <w:color w:val="auto"/>
              </w:rPr>
            </w:pPr>
            <w:r>
              <w:rPr>
                <w:rFonts w:ascii="Times New Roman" w:cs="Times New Roman" w:eastAsia="Times New Roman" w:hAnsi="Times New Roman"/>
                <w:sz w:val="16"/>
                <w:szCs w:val="16"/>
                <w:b w:val="1"/>
                <w:bCs w:val="1"/>
                <w:color w:val="1E1E1E"/>
              </w:rPr>
              <w:t>% of Net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4"/>
              <w:spacing w:after="0" w:line="174" w:lineRule="exact"/>
              <w:rPr>
                <w:sz w:val="20"/>
                <w:szCs w:val="20"/>
                <w:color w:val="auto"/>
              </w:rPr>
            </w:pPr>
            <w:r>
              <w:rPr>
                <w:rFonts w:ascii="Times New Roman" w:cs="Times New Roman" w:eastAsia="Times New Roman" w:hAnsi="Times New Roman"/>
                <w:sz w:val="16"/>
                <w:szCs w:val="16"/>
                <w:b w:val="1"/>
                <w:bCs w:val="1"/>
                <w:color w:val="1E1E1E"/>
              </w:rPr>
              <w:t>% of Net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60" w:type="dxa"/>
            <w:vAlign w:val="bottom"/>
          </w:tcPr>
          <w:p>
            <w:pPr>
              <w:spacing w:after="0"/>
              <w:rPr>
                <w:sz w:val="17"/>
                <w:szCs w:val="17"/>
                <w:color w:val="auto"/>
              </w:rPr>
            </w:pPr>
          </w:p>
        </w:tc>
        <w:tc>
          <w:tcPr>
            <w:tcW w:w="820" w:type="dxa"/>
            <w:vAlign w:val="bottom"/>
            <w:tcBorders>
              <w:bottom w:val="single" w:sz="8" w:color="1E1E1E"/>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1E1E1E"/>
              </w:rPr>
              <w:t>Sales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60" w:type="dxa"/>
            <w:vAlign w:val="bottom"/>
          </w:tcPr>
          <w:p>
            <w:pPr>
              <w:spacing w:after="0"/>
              <w:rPr>
                <w:sz w:val="17"/>
                <w:szCs w:val="17"/>
                <w:color w:val="auto"/>
              </w:rPr>
            </w:pPr>
          </w:p>
        </w:tc>
        <w:tc>
          <w:tcPr>
            <w:tcW w:w="820" w:type="dxa"/>
            <w:vAlign w:val="bottom"/>
            <w:tcBorders>
              <w:bottom w:val="single" w:sz="8" w:color="1E1E1E"/>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1E1E1E"/>
              </w:rPr>
              <w:t>Sales</w:t>
            </w:r>
          </w:p>
        </w:tc>
        <w:tc>
          <w:tcPr>
            <w:tcW w:w="36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260" w:type="dxa"/>
            <w:vAlign w:val="bottom"/>
          </w:tcPr>
          <w:p>
            <w:pPr>
              <w:spacing w:after="0"/>
              <w:rPr>
                <w:sz w:val="17"/>
                <w:szCs w:val="17"/>
                <w:color w:val="auto"/>
              </w:rPr>
            </w:pPr>
          </w:p>
        </w:tc>
        <w:tc>
          <w:tcPr>
            <w:tcW w:w="800" w:type="dxa"/>
            <w:vAlign w:val="bottom"/>
            <w:tcBorders>
              <w:bottom w:val="single" w:sz="8" w:color="1E1E1E"/>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40" w:type="dxa"/>
            <w:vAlign w:val="bottom"/>
            <w:gridSpan w:val="10"/>
          </w:tcPr>
          <w:p>
            <w:pPr>
              <w:jc w:val="right"/>
              <w:ind w:right="602"/>
              <w:spacing w:after="0"/>
              <w:rPr>
                <w:sz w:val="20"/>
                <w:szCs w:val="20"/>
                <w:color w:val="auto"/>
              </w:rPr>
            </w:pPr>
            <w:r>
              <w:rPr>
                <w:rFonts w:ascii="Times New Roman" w:cs="Times New Roman" w:eastAsia="Times New Roman" w:hAnsi="Times New Roman"/>
                <w:sz w:val="16"/>
                <w:szCs w:val="16"/>
                <w:b w:val="1"/>
                <w:bCs w:val="1"/>
                <w:color w:val="1E1E1E"/>
              </w:rPr>
              <w:t>(dollars in millions, except per share amounts)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sales</w:t>
            </w:r>
          </w:p>
        </w:tc>
        <w:tc>
          <w:tcPr>
            <w:tcW w:w="1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1,931.6</w:t>
            </w:r>
          </w:p>
        </w:tc>
        <w:tc>
          <w:tcPr>
            <w:tcW w:w="260" w:type="dxa"/>
            <w:vAlign w:val="bottom"/>
            <w:shd w:val="clear" w:color="auto" w:fill="E1E1E1"/>
          </w:tcPr>
          <w:p>
            <w:pPr>
              <w:spacing w:after="0"/>
              <w:rPr>
                <w:sz w:val="21"/>
                <w:szCs w:val="21"/>
                <w:color w:val="auto"/>
              </w:rPr>
            </w:pPr>
          </w:p>
        </w:tc>
        <w:tc>
          <w:tcPr>
            <w:tcW w:w="108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100.0%</w:t>
            </w:r>
          </w:p>
        </w:tc>
        <w:tc>
          <w:tcPr>
            <w:tcW w:w="2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1,382.6</w:t>
            </w:r>
          </w:p>
        </w:tc>
        <w:tc>
          <w:tcPr>
            <w:tcW w:w="260" w:type="dxa"/>
            <w:vAlign w:val="bottom"/>
            <w:shd w:val="clear" w:color="auto" w:fill="E1E1E1"/>
          </w:tcPr>
          <w:p>
            <w:pPr>
              <w:spacing w:after="0"/>
              <w:rPr>
                <w:sz w:val="21"/>
                <w:szCs w:val="21"/>
                <w:color w:val="auto"/>
              </w:rPr>
            </w:pPr>
          </w:p>
        </w:tc>
        <w:tc>
          <w:tcPr>
            <w:tcW w:w="118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100.0%</w:t>
            </w:r>
          </w:p>
        </w:tc>
        <w:tc>
          <w:tcPr>
            <w:tcW w:w="1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549.0</w:t>
            </w:r>
          </w:p>
        </w:tc>
        <w:tc>
          <w:tcPr>
            <w:tcW w:w="1280" w:type="dxa"/>
            <w:vAlign w:val="bottom"/>
            <w:gridSpan w:val="3"/>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39.7%</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1E1E1E"/>
              </w:rPr>
              <w:t>Gross profit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955.9</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49.5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605.1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43.8</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58.0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income (loss)</w:t>
            </w: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47.6</w:t>
            </w:r>
          </w:p>
        </w:tc>
        <w:tc>
          <w:tcPr>
            <w:tcW w:w="26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26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040" w:type="dxa"/>
            <w:vAlign w:val="bottom"/>
            <w:gridSpan w:val="2"/>
            <w:shd w:val="clear" w:color="auto" w:fill="E1E1E1"/>
          </w:tcPr>
          <w:p>
            <w:pPr>
              <w:jc w:val="right"/>
              <w:ind w:right="180"/>
              <w:spacing w:after="0"/>
              <w:rPr>
                <w:sz w:val="20"/>
                <w:szCs w:val="20"/>
                <w:color w:val="auto"/>
              </w:rPr>
            </w:pPr>
            <w:r>
              <w:rPr>
                <w:rFonts w:ascii="Times New Roman" w:cs="Times New Roman" w:eastAsia="Times New Roman" w:hAnsi="Times New Roman"/>
                <w:sz w:val="20"/>
                <w:szCs w:val="20"/>
                <w:color w:val="1E1E1E"/>
              </w:rPr>
              <w:t>(291.7)</w:t>
            </w:r>
          </w:p>
        </w:tc>
        <w:tc>
          <w:tcPr>
            <w:tcW w:w="118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(21.1)</w:t>
            </w: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339.3</w:t>
            </w:r>
          </w:p>
        </w:tc>
        <w:tc>
          <w:tcPr>
            <w:tcW w:w="260" w:type="dxa"/>
            <w:vAlign w:val="bottom"/>
            <w:shd w:val="clear" w:color="auto" w:fill="E1E1E1"/>
          </w:tcPr>
          <w:p>
            <w:pPr>
              <w:spacing w:after="0"/>
              <w:rPr>
                <w:sz w:val="21"/>
                <w:szCs w:val="21"/>
                <w:color w:val="auto"/>
              </w:rPr>
            </w:pPr>
          </w:p>
        </w:tc>
        <w:tc>
          <w:tcPr>
            <w:tcW w:w="10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NM</w:t>
            </w:r>
          </w:p>
        </w:tc>
        <w:tc>
          <w:tcPr>
            <w:tcW w:w="0" w:type="dxa"/>
            <w:vAlign w:val="bottom"/>
          </w:tcPr>
          <w:p>
            <w:pPr>
              <w:spacing w:after="0"/>
              <w:rPr>
                <w:sz w:val="1"/>
                <w:szCs w:val="1"/>
                <w:color w:val="auto"/>
              </w:rPr>
            </w:pPr>
          </w:p>
        </w:tc>
      </w:tr>
      <w:tr>
        <w:trPr>
          <w:trHeight w:val="244"/>
        </w:trPr>
        <w:tc>
          <w:tcPr>
            <w:tcW w:w="390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Core operating income (loss) </w:t>
            </w:r>
            <w:r>
              <w:rPr>
                <w:rFonts w:ascii="Times New Roman" w:cs="Times New Roman" w:eastAsia="Times New Roman" w:hAnsi="Times New Roman"/>
                <w:sz w:val="26"/>
                <w:szCs w:val="26"/>
                <w:color w:val="1E1E1E"/>
                <w:vertAlign w:val="superscript"/>
              </w:rPr>
              <w:t>(1)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166.7</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(125.6)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(9.1)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292.3</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NM</w:t>
            </w:r>
          </w:p>
        </w:tc>
        <w:tc>
          <w:tcPr>
            <w:tcW w:w="0" w:type="dxa"/>
            <w:vAlign w:val="bottom"/>
          </w:tcPr>
          <w:p>
            <w:pPr>
              <w:spacing w:after="0"/>
              <w:rPr>
                <w:sz w:val="1"/>
                <w:szCs w:val="1"/>
                <w:color w:val="auto"/>
              </w:rPr>
            </w:pPr>
          </w:p>
        </w:tc>
      </w:tr>
      <w:tr>
        <w:trPr>
          <w:trHeight w:val="244"/>
        </w:trPr>
        <w:tc>
          <w:tcPr>
            <w:tcW w:w="3900" w:type="dxa"/>
            <w:vAlign w:val="bottom"/>
            <w:shd w:val="clear" w:color="auto" w:fill="E1E1E1"/>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Non-GAAP adjusted EBITDA </w:t>
            </w:r>
            <w:r>
              <w:rPr>
                <w:rFonts w:ascii="Times New Roman" w:cs="Times New Roman" w:eastAsia="Times New Roman" w:hAnsi="Times New Roman"/>
                <w:sz w:val="26"/>
                <w:szCs w:val="26"/>
                <w:color w:val="1E1E1E"/>
                <w:vertAlign w:val="superscript"/>
              </w:rPr>
              <w:t>(2)</w:t>
            </w: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292.0</w:t>
            </w:r>
          </w:p>
        </w:tc>
        <w:tc>
          <w:tcPr>
            <w:tcW w:w="26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15.1</w:t>
            </w:r>
          </w:p>
        </w:tc>
        <w:tc>
          <w:tcPr>
            <w:tcW w:w="26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24.5</w:t>
            </w:r>
          </w:p>
        </w:tc>
        <w:tc>
          <w:tcPr>
            <w:tcW w:w="26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36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267.5</w:t>
            </w:r>
          </w:p>
        </w:tc>
        <w:tc>
          <w:tcPr>
            <w:tcW w:w="106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1,091.8</w:t>
            </w:r>
          </w:p>
        </w:tc>
        <w:tc>
          <w:tcPr>
            <w:tcW w:w="22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Core adjusted EBITDA </w:t>
            </w:r>
            <w:r>
              <w:rPr>
                <w:rFonts w:ascii="Times New Roman" w:cs="Times New Roman" w:eastAsia="Times New Roman" w:hAnsi="Times New Roman"/>
                <w:sz w:val="26"/>
                <w:szCs w:val="26"/>
                <w:color w:val="1E1E1E"/>
                <w:vertAlign w:val="superscript"/>
              </w:rPr>
              <w:t>(1)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379.4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242.0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176.1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Income (loss) from continuing operations</w:t>
            </w: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324.3</w:t>
            </w:r>
          </w:p>
        </w:tc>
        <w:tc>
          <w:tcPr>
            <w:tcW w:w="26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16.8</w:t>
            </w:r>
          </w:p>
        </w:tc>
        <w:tc>
          <w:tcPr>
            <w:tcW w:w="26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040" w:type="dxa"/>
            <w:vAlign w:val="bottom"/>
            <w:gridSpan w:val="2"/>
            <w:shd w:val="clear" w:color="auto" w:fill="E1E1E1"/>
          </w:tcPr>
          <w:p>
            <w:pPr>
              <w:jc w:val="right"/>
              <w:ind w:right="180"/>
              <w:spacing w:after="0"/>
              <w:rPr>
                <w:sz w:val="20"/>
                <w:szCs w:val="20"/>
                <w:color w:val="auto"/>
              </w:rPr>
            </w:pPr>
            <w:r>
              <w:rPr>
                <w:rFonts w:ascii="Times New Roman" w:cs="Times New Roman" w:eastAsia="Times New Roman" w:hAnsi="Times New Roman"/>
                <w:sz w:val="20"/>
                <w:szCs w:val="20"/>
                <w:color w:val="1E1E1E"/>
              </w:rPr>
              <w:t>(206.0)</w:t>
            </w:r>
          </w:p>
        </w:tc>
        <w:tc>
          <w:tcPr>
            <w:tcW w:w="118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(14.9)</w:t>
            </w: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530.3</w:t>
            </w:r>
          </w:p>
        </w:tc>
        <w:tc>
          <w:tcPr>
            <w:tcW w:w="260" w:type="dxa"/>
            <w:vAlign w:val="bottom"/>
            <w:shd w:val="clear" w:color="auto" w:fill="E1E1E1"/>
          </w:tcPr>
          <w:p>
            <w:pPr>
              <w:spacing w:after="0"/>
              <w:rPr>
                <w:sz w:val="21"/>
                <w:szCs w:val="21"/>
                <w:color w:val="auto"/>
              </w:rPr>
            </w:pPr>
          </w:p>
        </w:tc>
        <w:tc>
          <w:tcPr>
            <w:tcW w:w="10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NM</w:t>
            </w:r>
          </w:p>
        </w:tc>
        <w:tc>
          <w:tcPr>
            <w:tcW w:w="0" w:type="dxa"/>
            <w:vAlign w:val="bottom"/>
          </w:tcPr>
          <w:p>
            <w:pPr>
              <w:spacing w:after="0"/>
              <w:rPr>
                <w:sz w:val="1"/>
                <w:szCs w:val="1"/>
                <w:color w:val="auto"/>
              </w:rPr>
            </w:pPr>
          </w:p>
        </w:tc>
      </w:tr>
      <w:tr>
        <w:trPr>
          <w:trHeight w:val="223"/>
        </w:trPr>
        <w:tc>
          <w:tcPr>
            <w:tcW w:w="39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1E1E1E"/>
              </w:rPr>
              <w:t>Diluted earnings (loss) from continuing</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90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operations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1.11</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(1.27)</w:t>
            </w: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2.38</w:t>
            </w:r>
          </w:p>
        </w:tc>
        <w:tc>
          <w:tcPr>
            <w:tcW w:w="2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NM</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NM – Not meaningful</w:t>
      </w:r>
    </w:p>
    <w:p>
      <w:pPr>
        <w:spacing w:after="0" w:line="167" w:lineRule="exact"/>
        <w:rPr>
          <w:sz w:val="20"/>
          <w:szCs w:val="20"/>
          <w:color w:val="auto"/>
        </w:rPr>
      </w:pPr>
    </w:p>
    <w:p>
      <w:pPr>
        <w:ind w:left="480" w:right="40" w:hanging="480"/>
        <w:spacing w:after="0" w:line="248" w:lineRule="auto"/>
        <w:tabs>
          <w:tab w:leader="none" w:pos="480" w:val="left"/>
        </w:tabs>
        <w:numPr>
          <w:ilvl w:val="0"/>
          <w:numId w:val="3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Core financial measures reflect the results of the RUCKUS and Aurora segments, in the aggregate, and exclude general corporate costs that were previously allocated to the CCS segment, OWN segment and DAS business unit, since these costs were not directly attributable to these discontinued operations. Beginning in the first quarter of 2025, these costs related to the OWN segment and DAS business unit have been reallocated to our remaining segments. These costs related to the CCS segment will be reallocated to our remaining segments beginning in the first quarter of 2026. See “Segment Results” section below for the aggregation of our Core financial measures.</w:t>
      </w:r>
    </w:p>
    <w:p>
      <w:pPr>
        <w:spacing w:after="0" w:line="16" w:lineRule="exact"/>
        <w:rPr>
          <w:rFonts w:ascii="Times New Roman" w:cs="Times New Roman" w:eastAsia="Times New Roman" w:hAnsi="Times New Roman"/>
          <w:sz w:val="19"/>
          <w:szCs w:val="19"/>
          <w:color w:val="1E1E1E"/>
        </w:rPr>
      </w:pPr>
    </w:p>
    <w:p>
      <w:pPr>
        <w:ind w:left="480" w:right="260" w:hanging="480"/>
        <w:spacing w:after="0" w:line="280" w:lineRule="auto"/>
        <w:tabs>
          <w:tab w:leader="none" w:pos="480" w:val="left"/>
        </w:tabs>
        <w:numPr>
          <w:ilvl w:val="0"/>
          <w:numId w:val="3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See “Reconciliation of Non-GAAP Measures” in this Management’s Discussion and Analysis of Financial Condition and Results of Operations, below.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Net sales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20" w:type="dxa"/>
            <w:vAlign w:val="bottom"/>
          </w:tcPr>
          <w:p>
            <w:pPr>
              <w:spacing w:after="0"/>
              <w:rPr>
                <w:sz w:val="17"/>
                <w:szCs w:val="17"/>
                <w:color w:val="auto"/>
              </w:rPr>
            </w:pPr>
          </w:p>
        </w:tc>
        <w:tc>
          <w:tcPr>
            <w:tcW w:w="3600" w:type="dxa"/>
            <w:vAlign w:val="bottom"/>
            <w:tcBorders>
              <w:bottom w:val="single" w:sz="8" w:color="1E1E1E"/>
            </w:tcBorders>
            <w:gridSpan w:val="5"/>
          </w:tcPr>
          <w:p>
            <w:pPr>
              <w:jc w:val="right"/>
              <w:ind w:right="828"/>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w:t>
            </w:r>
          </w:p>
        </w:tc>
        <w:tc>
          <w:tcPr>
            <w:tcW w:w="260" w:type="dxa"/>
            <w:vAlign w:val="bottom"/>
          </w:tcPr>
          <w:p>
            <w:pPr>
              <w:spacing w:after="0"/>
              <w:rPr>
                <w:sz w:val="17"/>
                <w:szCs w:val="17"/>
                <w:color w:val="auto"/>
              </w:rPr>
            </w:pPr>
          </w:p>
        </w:tc>
      </w:tr>
      <w:tr>
        <w:trPr>
          <w:trHeight w:val="193"/>
        </w:trPr>
        <w:tc>
          <w:tcPr>
            <w:tcW w:w="3420" w:type="dxa"/>
            <w:vAlign w:val="bottom"/>
          </w:tcPr>
          <w:p>
            <w:pPr>
              <w:spacing w:after="0"/>
              <w:rPr>
                <w:sz w:val="16"/>
                <w:szCs w:val="16"/>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40" w:type="dxa"/>
            <w:vAlign w:val="bottom"/>
            <w:tcBorders>
              <w:bottom w:val="single" w:sz="8" w:color="1E1E1E"/>
            </w:tcBorders>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1E1E1E"/>
            </w:tcBorders>
          </w:tcPr>
          <w:p>
            <w:pPr>
              <w:spacing w:after="0"/>
              <w:rPr>
                <w:sz w:val="16"/>
                <w:szCs w:val="16"/>
                <w:color w:val="auto"/>
              </w:rPr>
            </w:pPr>
          </w:p>
        </w:tc>
        <w:tc>
          <w:tcPr>
            <w:tcW w:w="1260" w:type="dxa"/>
            <w:vAlign w:val="bottom"/>
            <w:tcBorders>
              <w:bottom w:val="single" w:sz="8" w:color="1E1E1E"/>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60" w:type="dxa"/>
            <w:vAlign w:val="bottom"/>
          </w:tcPr>
          <w:p>
            <w:pPr>
              <w:spacing w:after="0"/>
              <w:rPr>
                <w:sz w:val="16"/>
                <w:szCs w:val="16"/>
                <w:color w:val="auto"/>
              </w:rPr>
            </w:pPr>
          </w:p>
        </w:tc>
        <w:tc>
          <w:tcPr>
            <w:tcW w:w="360" w:type="dxa"/>
            <w:vAlign w:val="bottom"/>
            <w:tcBorders>
              <w:bottom w:val="single" w:sz="8" w:color="1E1E1E"/>
            </w:tcBorders>
          </w:tcPr>
          <w:p>
            <w:pPr>
              <w:spacing w:after="0"/>
              <w:rPr>
                <w:sz w:val="16"/>
                <w:szCs w:val="16"/>
                <w:color w:val="auto"/>
              </w:rPr>
            </w:pPr>
          </w:p>
        </w:tc>
        <w:tc>
          <w:tcPr>
            <w:tcW w:w="1120" w:type="dxa"/>
            <w:vAlign w:val="bottom"/>
            <w:tcBorders>
              <w:bottom w:val="single" w:sz="8" w:color="1E1E1E"/>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360" w:type="dxa"/>
            <w:vAlign w:val="bottom"/>
          </w:tcPr>
          <w:p>
            <w:pPr>
              <w:spacing w:after="0"/>
              <w:rPr>
                <w:sz w:val="16"/>
                <w:szCs w:val="16"/>
                <w:color w:val="auto"/>
              </w:rPr>
            </w:pPr>
          </w:p>
        </w:tc>
        <w:tc>
          <w:tcPr>
            <w:tcW w:w="1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Change</w:t>
            </w:r>
          </w:p>
        </w:tc>
        <w:tc>
          <w:tcPr>
            <w:tcW w:w="260" w:type="dxa"/>
            <w:vAlign w:val="bottom"/>
          </w:tcPr>
          <w:p>
            <w:pPr>
              <w:spacing w:after="0"/>
              <w:rPr>
                <w:sz w:val="16"/>
                <w:szCs w:val="16"/>
                <w:color w:val="auto"/>
              </w:rPr>
            </w:pPr>
          </w:p>
        </w:tc>
      </w:tr>
      <w:tr>
        <w:trPr>
          <w:trHeight w:val="193"/>
        </w:trPr>
        <w:tc>
          <w:tcPr>
            <w:tcW w:w="3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(dollars in</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millions)</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44"/>
        </w:trPr>
        <w:tc>
          <w:tcPr>
            <w:tcW w:w="34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sales</w:t>
            </w:r>
          </w:p>
        </w:tc>
        <w:tc>
          <w:tcPr>
            <w:tcW w:w="980" w:type="dxa"/>
            <w:vAlign w:val="bottom"/>
            <w:shd w:val="clear" w:color="auto" w:fill="E1E1E1"/>
          </w:tcPr>
          <w:p>
            <w:pPr>
              <w:jc w:val="right"/>
              <w:ind w:right="793"/>
              <w:spacing w:after="0"/>
              <w:rPr>
                <w:sz w:val="20"/>
                <w:szCs w:val="20"/>
                <w:color w:val="auto"/>
              </w:rPr>
            </w:pPr>
            <w:r>
              <w:rPr>
                <w:rFonts w:ascii="Times New Roman" w:cs="Times New Roman" w:eastAsia="Times New Roman" w:hAnsi="Times New Roman"/>
                <w:sz w:val="20"/>
                <w:szCs w:val="20"/>
                <w:color w:val="1E1E1E"/>
                <w:w w:val="79"/>
              </w:rPr>
              <w:t>$</w:t>
            </w:r>
          </w:p>
        </w:tc>
        <w:tc>
          <w:tcPr>
            <w:tcW w:w="6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9"/>
              </w:rPr>
              <w:t>1,931.6</w:t>
            </w:r>
          </w:p>
        </w:tc>
        <w:tc>
          <w:tcPr>
            <w:tcW w:w="720" w:type="dxa"/>
            <w:vAlign w:val="bottom"/>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12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1,382.6</w:t>
            </w:r>
          </w:p>
        </w:tc>
        <w:tc>
          <w:tcPr>
            <w:tcW w:w="720" w:type="dxa"/>
            <w:vAlign w:val="bottom"/>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549.0</w:t>
            </w:r>
          </w:p>
        </w:tc>
        <w:tc>
          <w:tcPr>
            <w:tcW w:w="1940" w:type="dxa"/>
            <w:vAlign w:val="bottom"/>
            <w:gridSpan w:val="3"/>
            <w:shd w:val="clear" w:color="auto" w:fill="E1E1E1"/>
          </w:tcPr>
          <w:p>
            <w:pPr>
              <w:ind w:left="1320"/>
              <w:spacing w:after="0"/>
              <w:rPr>
                <w:sz w:val="20"/>
                <w:szCs w:val="20"/>
                <w:color w:val="auto"/>
              </w:rPr>
            </w:pPr>
            <w:r>
              <w:rPr>
                <w:rFonts w:ascii="Times New Roman" w:cs="Times New Roman" w:eastAsia="Times New Roman" w:hAnsi="Times New Roman"/>
                <w:sz w:val="20"/>
                <w:szCs w:val="20"/>
                <w:color w:val="1E1E1E"/>
              </w:rPr>
              <w:t>39.7%</w:t>
            </w:r>
          </w:p>
        </w:tc>
      </w:tr>
      <w:tr>
        <w:trPr>
          <w:trHeight w:val="244"/>
        </w:trPr>
        <w:tc>
          <w:tcPr>
            <w:tcW w:w="34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Domestic</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9"/>
              </w:rPr>
              <w:t>1,380.7</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922.5</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458.2</w:t>
            </w: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1E1E1E"/>
                <w:w w:val="97"/>
              </w:rPr>
              <w:t>49.7</w:t>
            </w:r>
          </w:p>
        </w:tc>
        <w:tc>
          <w:tcPr>
            <w:tcW w:w="260" w:type="dxa"/>
            <w:vAlign w:val="bottom"/>
          </w:tcPr>
          <w:p>
            <w:pPr>
              <w:spacing w:after="0"/>
              <w:rPr>
                <w:sz w:val="21"/>
                <w:szCs w:val="21"/>
                <w:color w:val="auto"/>
              </w:rPr>
            </w:pPr>
          </w:p>
        </w:tc>
      </w:tr>
      <w:tr>
        <w:trPr>
          <w:trHeight w:val="244"/>
        </w:trPr>
        <w:tc>
          <w:tcPr>
            <w:tcW w:w="342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International</w:t>
            </w:r>
          </w:p>
        </w:tc>
        <w:tc>
          <w:tcPr>
            <w:tcW w:w="980" w:type="dxa"/>
            <w:vAlign w:val="bottom"/>
            <w:shd w:val="clear" w:color="auto" w:fill="E1E1E1"/>
          </w:tcPr>
          <w:p>
            <w:pPr>
              <w:spacing w:after="0"/>
              <w:rPr>
                <w:sz w:val="21"/>
                <w:szCs w:val="21"/>
                <w:color w:val="auto"/>
              </w:rPr>
            </w:pPr>
          </w:p>
        </w:tc>
        <w:tc>
          <w:tcPr>
            <w:tcW w:w="6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550.9</w:t>
            </w:r>
          </w:p>
        </w:tc>
        <w:tc>
          <w:tcPr>
            <w:tcW w:w="360" w:type="dxa"/>
            <w:vAlign w:val="bottom"/>
            <w:shd w:val="clear" w:color="auto" w:fill="E1E1E1"/>
          </w:tcPr>
          <w:p>
            <w:pPr>
              <w:spacing w:after="0"/>
              <w:rPr>
                <w:sz w:val="21"/>
                <w:szCs w:val="21"/>
                <w:color w:val="auto"/>
              </w:rPr>
            </w:pPr>
          </w:p>
        </w:tc>
        <w:tc>
          <w:tcPr>
            <w:tcW w:w="360" w:type="dxa"/>
            <w:vAlign w:val="bottom"/>
            <w:shd w:val="clear" w:color="auto" w:fill="E1E1E1"/>
          </w:tcPr>
          <w:p>
            <w:pPr>
              <w:spacing w:after="0"/>
              <w:rPr>
                <w:sz w:val="21"/>
                <w:szCs w:val="21"/>
                <w:color w:val="auto"/>
              </w:rPr>
            </w:pPr>
          </w:p>
        </w:tc>
        <w:tc>
          <w:tcPr>
            <w:tcW w:w="12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460.1</w:t>
            </w:r>
          </w:p>
        </w:tc>
        <w:tc>
          <w:tcPr>
            <w:tcW w:w="360" w:type="dxa"/>
            <w:vAlign w:val="bottom"/>
            <w:shd w:val="clear" w:color="auto" w:fill="E1E1E1"/>
          </w:tcPr>
          <w:p>
            <w:pPr>
              <w:spacing w:after="0"/>
              <w:rPr>
                <w:sz w:val="21"/>
                <w:szCs w:val="21"/>
                <w:color w:val="auto"/>
              </w:rPr>
            </w:pPr>
          </w:p>
        </w:tc>
        <w:tc>
          <w:tcPr>
            <w:tcW w:w="360" w:type="dxa"/>
            <w:vAlign w:val="bottom"/>
            <w:shd w:val="clear" w:color="auto" w:fill="E1E1E1"/>
          </w:tcPr>
          <w:p>
            <w:pPr>
              <w:spacing w:after="0"/>
              <w:rPr>
                <w:sz w:val="21"/>
                <w:szCs w:val="21"/>
                <w:color w:val="auto"/>
              </w:rPr>
            </w:pPr>
          </w:p>
        </w:tc>
        <w:tc>
          <w:tcPr>
            <w:tcW w:w="1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90.8</w:t>
            </w:r>
          </w:p>
        </w:tc>
        <w:tc>
          <w:tcPr>
            <w:tcW w:w="1680" w:type="dxa"/>
            <w:vAlign w:val="bottom"/>
            <w:gridSpan w:val="2"/>
            <w:shd w:val="clear" w:color="auto" w:fill="E1E1E1"/>
          </w:tcPr>
          <w:p>
            <w:pPr>
              <w:ind w:left="1320"/>
              <w:spacing w:after="0"/>
              <w:rPr>
                <w:sz w:val="20"/>
                <w:szCs w:val="20"/>
                <w:color w:val="auto"/>
              </w:rPr>
            </w:pPr>
            <w:r>
              <w:rPr>
                <w:rFonts w:ascii="Times New Roman" w:cs="Times New Roman" w:eastAsia="Times New Roman" w:hAnsi="Times New Roman"/>
                <w:sz w:val="20"/>
                <w:szCs w:val="20"/>
                <w:color w:val="1E1E1E"/>
                <w:w w:val="97"/>
              </w:rPr>
              <w:t>19.7</w:t>
            </w:r>
          </w:p>
        </w:tc>
        <w:tc>
          <w:tcPr>
            <w:tcW w:w="260" w:type="dxa"/>
            <w:vAlign w:val="bottom"/>
            <w:shd w:val="clear" w:color="auto" w:fill="E1E1E1"/>
          </w:tcPr>
          <w:p>
            <w:pPr>
              <w:spacing w:after="0"/>
              <w:rPr>
                <w:sz w:val="21"/>
                <w:szCs w:val="21"/>
                <w:color w:val="auto"/>
              </w:rPr>
            </w:pPr>
          </w:p>
        </w:tc>
      </w:tr>
    </w:tbl>
    <w:p>
      <w:pPr>
        <w:spacing w:after="0" w:line="33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color w:val="1E1E1E"/>
        </w:rPr>
        <w:t>Net sales in 2025 increased $549.0 million, or 39.7%, compared to the prior year primarily driven by increased sales volumes, partially offset by lower pricing and unfavorable product mix. The increase was driven by higher net sales in the Aurora segment of $396.9 million and the RUCKUS segment of $152.6 million. For further details by segment, see “Segment Results” below.</w:t>
      </w:r>
    </w:p>
    <w:p>
      <w:pPr>
        <w:spacing w:after="0" w:line="18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1E1E1E"/>
        </w:rPr>
        <w:t>From a regional perspective in 2025, net sales increased in the U.S. by $458.2 million, the Europe, Middle East and Africa (EMEA) region by $64.8 million, the Asia Pacific (APAC) region by $30.0 million and Canada by $5.5 million, partially offset by a decrease in the Caribbean and Latin American (CALA) region by $9.5 million. Net sales to customers located outside of the U.S. comprised</w:t>
      </w:r>
    </w:p>
    <w:p>
      <w:pPr>
        <w:ind w:right="100"/>
        <w:spacing w:after="0" w:line="259" w:lineRule="auto"/>
        <w:rPr>
          <w:sz w:val="20"/>
          <w:szCs w:val="20"/>
          <w:color w:val="auto"/>
        </w:rPr>
      </w:pPr>
      <w:r>
        <w:rPr>
          <w:rFonts w:ascii="Times New Roman" w:cs="Times New Roman" w:eastAsia="Times New Roman" w:hAnsi="Times New Roman"/>
          <w:sz w:val="20"/>
          <w:szCs w:val="20"/>
          <w:color w:val="1E1E1E"/>
        </w:rPr>
        <w:t>28.5% of total net sales for 2025 compared to 33.3% for 2024. Foreign exchange rate changes did not have a material impact on our net sales during 2025. For additional information on regional sales by segment, see discussion of Segment Results below and Note 17 in the Notes to Consolidated Financial Statements included elsewhere in this Annual Report on Form 10-K.</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39</w:t>
      </w:r>
    </w:p>
    <w:p>
      <w:pPr>
        <w:sectPr>
          <w:pgSz w:w="11880" w:h="15480" w:orient="portrait"/>
          <w:cols w:equalWidth="0" w:num="1">
            <w:col w:w="10800"/>
          </w:cols>
          <w:pgMar w:left="540" w:top="1235" w:right="54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1E1E1E"/>
        </w:rPr>
        <w:t>Gross profit, TSA income, SG&amp;A expense and R&amp;D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420" w:type="dxa"/>
            <w:vAlign w:val="bottom"/>
            <w:tcBorders>
              <w:bottom w:val="single" w:sz="8" w:color="1E1E1E"/>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480" w:type="dxa"/>
            <w:vAlign w:val="bottom"/>
            <w:tcBorders>
              <w:bottom w:val="single" w:sz="8" w:color="1E1E1E"/>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1E1E1E"/>
              </w:rPr>
              <w:t>%</w:t>
            </w:r>
          </w:p>
        </w:tc>
        <w:tc>
          <w:tcPr>
            <w:tcW w:w="220" w:type="dxa"/>
            <w:vAlign w:val="bottom"/>
          </w:tcPr>
          <w:p>
            <w:pPr>
              <w:spacing w:after="0"/>
              <w:rPr>
                <w:sz w:val="17"/>
                <w:szCs w:val="17"/>
                <w:color w:val="auto"/>
              </w:rPr>
            </w:pPr>
          </w:p>
        </w:tc>
      </w:tr>
      <w:tr>
        <w:trPr>
          <w:trHeight w:val="193"/>
        </w:trPr>
        <w:tc>
          <w:tcPr>
            <w:tcW w:w="4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320" w:type="dxa"/>
            <w:vAlign w:val="bottom"/>
          </w:tcPr>
          <w:p>
            <w:pPr>
              <w:spacing w:after="0"/>
              <w:rPr>
                <w:sz w:val="16"/>
                <w:szCs w:val="16"/>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1E1E1E"/>
              </w:rPr>
              <w:t>Change</w:t>
            </w:r>
          </w:p>
        </w:tc>
      </w:tr>
      <w:tr>
        <w:trPr>
          <w:trHeight w:val="193"/>
        </w:trPr>
        <w:tc>
          <w:tcPr>
            <w:tcW w:w="4320" w:type="dxa"/>
            <w:vAlign w:val="bottom"/>
          </w:tcPr>
          <w:p>
            <w:pPr>
              <w:spacing w:after="0"/>
              <w:rPr>
                <w:sz w:val="16"/>
                <w:szCs w:val="16"/>
                <w:color w:val="auto"/>
              </w:rPr>
            </w:pPr>
          </w:p>
        </w:tc>
        <w:tc>
          <w:tcPr>
            <w:tcW w:w="780" w:type="dxa"/>
            <w:vAlign w:val="bottom"/>
            <w:tcBorders>
              <w:top w:val="single" w:sz="8" w:color="1E1E1E"/>
            </w:tcBorders>
          </w:tcPr>
          <w:p>
            <w:pPr>
              <w:spacing w:after="0"/>
              <w:rPr>
                <w:sz w:val="16"/>
                <w:szCs w:val="16"/>
                <w:color w:val="auto"/>
              </w:rPr>
            </w:pPr>
          </w:p>
        </w:tc>
        <w:tc>
          <w:tcPr>
            <w:tcW w:w="460" w:type="dxa"/>
            <w:vAlign w:val="bottom"/>
            <w:tcBorders>
              <w:top w:val="single" w:sz="8" w:color="1E1E1E"/>
            </w:tcBorders>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Borders>
              <w:top w:val="single" w:sz="8" w:color="1E1E1E"/>
            </w:tcBorders>
          </w:tcPr>
          <w:p>
            <w:pPr>
              <w:spacing w:after="0"/>
              <w:rPr>
                <w:sz w:val="16"/>
                <w:szCs w:val="16"/>
                <w:color w:val="auto"/>
              </w:rPr>
            </w:pPr>
          </w:p>
        </w:tc>
        <w:tc>
          <w:tcPr>
            <w:tcW w:w="4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w w:val="87"/>
              </w:rPr>
              <w:t>(dollars</w:t>
            </w: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in</w:t>
            </w:r>
          </w:p>
        </w:tc>
        <w:tc>
          <w:tcPr>
            <w:tcW w:w="1360" w:type="dxa"/>
            <w:vAlign w:val="bottom"/>
            <w:tcBorders>
              <w:top w:val="single" w:sz="8" w:color="1E1E1E"/>
            </w:tcBorders>
            <w:gridSpan w:val="2"/>
          </w:tcPr>
          <w:p>
            <w:pPr>
              <w:spacing w:after="0"/>
              <w:rPr>
                <w:sz w:val="20"/>
                <w:szCs w:val="20"/>
                <w:color w:val="auto"/>
              </w:rPr>
            </w:pPr>
            <w:r>
              <w:rPr>
                <w:rFonts w:ascii="Times New Roman" w:cs="Times New Roman" w:eastAsia="Times New Roman" w:hAnsi="Times New Roman"/>
                <w:sz w:val="16"/>
                <w:szCs w:val="16"/>
                <w:b w:val="1"/>
                <w:bCs w:val="1"/>
                <w:color w:val="1E1E1E"/>
              </w:rPr>
              <w:t>millions)</w:t>
            </w:r>
          </w:p>
        </w:tc>
        <w:tc>
          <w:tcPr>
            <w:tcW w:w="320" w:type="dxa"/>
            <w:vAlign w:val="bottom"/>
          </w:tcPr>
          <w:p>
            <w:pPr>
              <w:spacing w:after="0"/>
              <w:rPr>
                <w:sz w:val="16"/>
                <w:szCs w:val="16"/>
                <w:color w:val="auto"/>
              </w:rPr>
            </w:pPr>
          </w:p>
        </w:tc>
        <w:tc>
          <w:tcPr>
            <w:tcW w:w="1260" w:type="dxa"/>
            <w:vAlign w:val="bottom"/>
            <w:tcBorders>
              <w:top w:val="single" w:sz="8" w:color="1E1E1E"/>
            </w:tcBorders>
          </w:tcPr>
          <w:p>
            <w:pPr>
              <w:spacing w:after="0"/>
              <w:rPr>
                <w:sz w:val="16"/>
                <w:szCs w:val="16"/>
                <w:color w:val="auto"/>
              </w:rPr>
            </w:pPr>
          </w:p>
        </w:tc>
        <w:tc>
          <w:tcPr>
            <w:tcW w:w="220" w:type="dxa"/>
            <w:vAlign w:val="bottom"/>
          </w:tcPr>
          <w:p>
            <w:pPr>
              <w:spacing w:after="0"/>
              <w:rPr>
                <w:sz w:val="16"/>
                <w:szCs w:val="16"/>
                <w:color w:val="auto"/>
              </w:rPr>
            </w:pPr>
          </w:p>
        </w:tc>
      </w:tr>
      <w:tr>
        <w:trPr>
          <w:trHeight w:val="244"/>
        </w:trPr>
        <w:tc>
          <w:tcPr>
            <w:tcW w:w="43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Gross profit</w:t>
            </w:r>
          </w:p>
        </w:tc>
        <w:tc>
          <w:tcPr>
            <w:tcW w:w="780" w:type="dxa"/>
            <w:vAlign w:val="bottom"/>
            <w:shd w:val="clear" w:color="auto" w:fill="E1E1E1"/>
          </w:tcPr>
          <w:p>
            <w:pPr>
              <w:jc w:val="right"/>
              <w:ind w:right="593"/>
              <w:spacing w:after="0"/>
              <w:rPr>
                <w:sz w:val="20"/>
                <w:szCs w:val="20"/>
                <w:color w:val="auto"/>
              </w:rPr>
            </w:pPr>
            <w:r>
              <w:rPr>
                <w:rFonts w:ascii="Times New Roman" w:cs="Times New Roman" w:eastAsia="Times New Roman" w:hAnsi="Times New Roman"/>
                <w:sz w:val="20"/>
                <w:szCs w:val="20"/>
                <w:color w:val="1E1E1E"/>
                <w:w w:val="79"/>
              </w:rPr>
              <w:t>$</w:t>
            </w:r>
          </w:p>
        </w:tc>
        <w:tc>
          <w:tcPr>
            <w:tcW w:w="4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3"/>
              </w:rPr>
              <w:t>955.9</w:t>
            </w:r>
          </w:p>
        </w:tc>
        <w:tc>
          <w:tcPr>
            <w:tcW w:w="420" w:type="dxa"/>
            <w:vAlign w:val="bottom"/>
            <w:shd w:val="clear" w:color="auto" w:fill="E1E1E1"/>
          </w:tcPr>
          <w:p>
            <w:pPr>
              <w:spacing w:after="0"/>
              <w:rPr>
                <w:sz w:val="21"/>
                <w:szCs w:val="21"/>
                <w:color w:val="auto"/>
              </w:rPr>
            </w:pPr>
          </w:p>
        </w:tc>
        <w:tc>
          <w:tcPr>
            <w:tcW w:w="760" w:type="dxa"/>
            <w:vAlign w:val="bottom"/>
            <w:shd w:val="clear" w:color="auto" w:fill="E1E1E1"/>
          </w:tcPr>
          <w:p>
            <w:pPr>
              <w:jc w:val="right"/>
              <w:ind w:right="570"/>
              <w:spacing w:after="0"/>
              <w:rPr>
                <w:sz w:val="20"/>
                <w:szCs w:val="20"/>
                <w:color w:val="auto"/>
              </w:rPr>
            </w:pPr>
            <w:r>
              <w:rPr>
                <w:rFonts w:ascii="Times New Roman" w:cs="Times New Roman" w:eastAsia="Times New Roman" w:hAnsi="Times New Roman"/>
                <w:sz w:val="20"/>
                <w:szCs w:val="20"/>
                <w:color w:val="1E1E1E"/>
                <w:w w:val="79"/>
              </w:rPr>
              <w:t>$</w:t>
            </w:r>
          </w:p>
        </w:tc>
        <w:tc>
          <w:tcPr>
            <w:tcW w:w="4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7"/>
              </w:rPr>
              <w:t>605.1</w:t>
            </w:r>
          </w:p>
        </w:tc>
        <w:tc>
          <w:tcPr>
            <w:tcW w:w="4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350.8</w:t>
            </w:r>
          </w:p>
        </w:tc>
        <w:tc>
          <w:tcPr>
            <w:tcW w:w="1800" w:type="dxa"/>
            <w:vAlign w:val="bottom"/>
            <w:gridSpan w:val="3"/>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58.0%</w:t>
            </w:r>
          </w:p>
        </w:tc>
      </w:tr>
      <w:tr>
        <w:trPr>
          <w:trHeight w:val="244"/>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As a percent of sales</w:t>
            </w:r>
          </w:p>
        </w:tc>
        <w:tc>
          <w:tcPr>
            <w:tcW w:w="78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49.5%</w:t>
            </w:r>
          </w:p>
        </w:tc>
        <w:tc>
          <w:tcPr>
            <w:tcW w:w="7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43.8%</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43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TSA income</w:t>
            </w:r>
          </w:p>
        </w:tc>
        <w:tc>
          <w:tcPr>
            <w:tcW w:w="780" w:type="dxa"/>
            <w:vAlign w:val="bottom"/>
            <w:shd w:val="clear" w:color="auto" w:fill="E1E1E1"/>
          </w:tcPr>
          <w:p>
            <w:pPr>
              <w:spacing w:after="0"/>
              <w:rPr>
                <w:sz w:val="21"/>
                <w:szCs w:val="21"/>
                <w:color w:val="auto"/>
              </w:rPr>
            </w:pPr>
          </w:p>
        </w:tc>
        <w:tc>
          <w:tcPr>
            <w:tcW w:w="4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35.5</w:t>
            </w:r>
          </w:p>
        </w:tc>
        <w:tc>
          <w:tcPr>
            <w:tcW w:w="420" w:type="dxa"/>
            <w:vAlign w:val="bottom"/>
            <w:shd w:val="clear" w:color="auto" w:fill="E1E1E1"/>
          </w:tcPr>
          <w:p>
            <w:pPr>
              <w:spacing w:after="0"/>
              <w:rPr>
                <w:sz w:val="21"/>
                <w:szCs w:val="21"/>
                <w:color w:val="auto"/>
              </w:rPr>
            </w:pPr>
          </w:p>
        </w:tc>
        <w:tc>
          <w:tcPr>
            <w:tcW w:w="760" w:type="dxa"/>
            <w:vAlign w:val="bottom"/>
            <w:shd w:val="clear" w:color="auto" w:fill="E1E1E1"/>
          </w:tcPr>
          <w:p>
            <w:pPr>
              <w:spacing w:after="0"/>
              <w:rPr>
                <w:sz w:val="21"/>
                <w:szCs w:val="21"/>
                <w:color w:val="auto"/>
              </w:rPr>
            </w:pPr>
          </w:p>
        </w:tc>
        <w:tc>
          <w:tcPr>
            <w:tcW w:w="4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24.5</w:t>
            </w:r>
          </w:p>
        </w:tc>
        <w:tc>
          <w:tcPr>
            <w:tcW w:w="4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11.0</w:t>
            </w:r>
          </w:p>
        </w:tc>
        <w:tc>
          <w:tcPr>
            <w:tcW w:w="15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44.9</w:t>
            </w:r>
          </w:p>
        </w:tc>
        <w:tc>
          <w:tcPr>
            <w:tcW w:w="220" w:type="dxa"/>
            <w:vAlign w:val="bottom"/>
            <w:shd w:val="clear" w:color="auto" w:fill="E1E1E1"/>
          </w:tcPr>
          <w:p>
            <w:pPr>
              <w:spacing w:after="0"/>
              <w:rPr>
                <w:sz w:val="21"/>
                <w:szCs w:val="21"/>
                <w:color w:val="auto"/>
              </w:rPr>
            </w:pPr>
          </w:p>
        </w:tc>
      </w:tr>
      <w:tr>
        <w:trPr>
          <w:trHeight w:val="244"/>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As a percent of sales</w:t>
            </w:r>
          </w:p>
        </w:tc>
        <w:tc>
          <w:tcPr>
            <w:tcW w:w="78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1.8%</w:t>
            </w:r>
          </w:p>
        </w:tc>
        <w:tc>
          <w:tcPr>
            <w:tcW w:w="7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1.8%</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43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SG&amp;A expense</w:t>
            </w:r>
          </w:p>
        </w:tc>
        <w:tc>
          <w:tcPr>
            <w:tcW w:w="780" w:type="dxa"/>
            <w:vAlign w:val="bottom"/>
            <w:shd w:val="clear" w:color="auto" w:fill="E1E1E1"/>
          </w:tcPr>
          <w:p>
            <w:pPr>
              <w:spacing w:after="0"/>
              <w:rPr>
                <w:sz w:val="21"/>
                <w:szCs w:val="21"/>
                <w:color w:val="auto"/>
              </w:rPr>
            </w:pPr>
          </w:p>
        </w:tc>
        <w:tc>
          <w:tcPr>
            <w:tcW w:w="4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3"/>
              </w:rPr>
              <w:t>497.4</w:t>
            </w:r>
          </w:p>
        </w:tc>
        <w:tc>
          <w:tcPr>
            <w:tcW w:w="420" w:type="dxa"/>
            <w:vAlign w:val="bottom"/>
            <w:shd w:val="clear" w:color="auto" w:fill="E1E1E1"/>
          </w:tcPr>
          <w:p>
            <w:pPr>
              <w:spacing w:after="0"/>
              <w:rPr>
                <w:sz w:val="21"/>
                <w:szCs w:val="21"/>
                <w:color w:val="auto"/>
              </w:rPr>
            </w:pPr>
          </w:p>
        </w:tc>
        <w:tc>
          <w:tcPr>
            <w:tcW w:w="760" w:type="dxa"/>
            <w:vAlign w:val="bottom"/>
            <w:shd w:val="clear" w:color="auto" w:fill="E1E1E1"/>
          </w:tcPr>
          <w:p>
            <w:pPr>
              <w:spacing w:after="0"/>
              <w:rPr>
                <w:sz w:val="21"/>
                <w:szCs w:val="21"/>
                <w:color w:val="auto"/>
              </w:rPr>
            </w:pPr>
          </w:p>
        </w:tc>
        <w:tc>
          <w:tcPr>
            <w:tcW w:w="4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7"/>
              </w:rPr>
              <w:t>472.0</w:t>
            </w:r>
          </w:p>
        </w:tc>
        <w:tc>
          <w:tcPr>
            <w:tcW w:w="4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25.4</w:t>
            </w:r>
          </w:p>
        </w:tc>
        <w:tc>
          <w:tcPr>
            <w:tcW w:w="15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220" w:type="dxa"/>
            <w:vAlign w:val="bottom"/>
            <w:shd w:val="clear" w:color="auto" w:fill="E1E1E1"/>
          </w:tcPr>
          <w:p>
            <w:pPr>
              <w:spacing w:after="0"/>
              <w:rPr>
                <w:sz w:val="21"/>
                <w:szCs w:val="21"/>
                <w:color w:val="auto"/>
              </w:rPr>
            </w:pPr>
          </w:p>
        </w:tc>
      </w:tr>
      <w:tr>
        <w:trPr>
          <w:trHeight w:val="244"/>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As a percent of sales</w:t>
            </w:r>
          </w:p>
        </w:tc>
        <w:tc>
          <w:tcPr>
            <w:tcW w:w="78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25.8%</w:t>
            </w:r>
          </w:p>
        </w:tc>
        <w:tc>
          <w:tcPr>
            <w:tcW w:w="7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34.1%</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43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R&amp;D expense</w:t>
            </w:r>
          </w:p>
        </w:tc>
        <w:tc>
          <w:tcPr>
            <w:tcW w:w="780" w:type="dxa"/>
            <w:vAlign w:val="bottom"/>
            <w:shd w:val="clear" w:color="auto" w:fill="E1E1E1"/>
          </w:tcPr>
          <w:p>
            <w:pPr>
              <w:spacing w:after="0"/>
              <w:rPr>
                <w:sz w:val="21"/>
                <w:szCs w:val="21"/>
                <w:color w:val="auto"/>
              </w:rPr>
            </w:pPr>
          </w:p>
        </w:tc>
        <w:tc>
          <w:tcPr>
            <w:tcW w:w="4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3"/>
              </w:rPr>
              <w:t>283.5</w:t>
            </w:r>
          </w:p>
        </w:tc>
        <w:tc>
          <w:tcPr>
            <w:tcW w:w="420" w:type="dxa"/>
            <w:vAlign w:val="bottom"/>
            <w:shd w:val="clear" w:color="auto" w:fill="E1E1E1"/>
          </w:tcPr>
          <w:p>
            <w:pPr>
              <w:spacing w:after="0"/>
              <w:rPr>
                <w:sz w:val="21"/>
                <w:szCs w:val="21"/>
                <w:color w:val="auto"/>
              </w:rPr>
            </w:pPr>
          </w:p>
        </w:tc>
        <w:tc>
          <w:tcPr>
            <w:tcW w:w="760" w:type="dxa"/>
            <w:vAlign w:val="bottom"/>
            <w:shd w:val="clear" w:color="auto" w:fill="E1E1E1"/>
          </w:tcPr>
          <w:p>
            <w:pPr>
              <w:spacing w:after="0"/>
              <w:rPr>
                <w:sz w:val="21"/>
                <w:szCs w:val="21"/>
                <w:color w:val="auto"/>
              </w:rPr>
            </w:pPr>
          </w:p>
        </w:tc>
        <w:tc>
          <w:tcPr>
            <w:tcW w:w="4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7"/>
              </w:rPr>
              <w:t>247.5</w:t>
            </w:r>
          </w:p>
        </w:tc>
        <w:tc>
          <w:tcPr>
            <w:tcW w:w="4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36.0</w:t>
            </w:r>
          </w:p>
        </w:tc>
        <w:tc>
          <w:tcPr>
            <w:tcW w:w="15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14.5</w:t>
            </w:r>
          </w:p>
        </w:tc>
        <w:tc>
          <w:tcPr>
            <w:tcW w:w="220" w:type="dxa"/>
            <w:vAlign w:val="bottom"/>
            <w:shd w:val="clear" w:color="auto" w:fill="E1E1E1"/>
          </w:tcPr>
          <w:p>
            <w:pPr>
              <w:spacing w:after="0"/>
              <w:rPr>
                <w:sz w:val="21"/>
                <w:szCs w:val="21"/>
                <w:color w:val="auto"/>
              </w:rPr>
            </w:pPr>
          </w:p>
        </w:tc>
      </w:tr>
      <w:tr>
        <w:trPr>
          <w:trHeight w:val="268"/>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As a percent of sales</w:t>
            </w:r>
          </w:p>
        </w:tc>
        <w:tc>
          <w:tcPr>
            <w:tcW w:w="78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14.7%</w:t>
            </w:r>
          </w:p>
        </w:tc>
        <w:tc>
          <w:tcPr>
            <w:tcW w:w="7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17.9%</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Gross profit (net sales less cost of sales)</w:t>
      </w:r>
    </w:p>
    <w:p>
      <w:pPr>
        <w:spacing w:after="0" w:line="118"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1E1E1E"/>
        </w:rPr>
        <w:t>Gross profit increased in 2025 compared to the prior year primarily due to higher net sales volumes, partially offset by lower pricing, unfavorable product mix and higher input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Transition service agreement income (TSA)</w:t>
      </w:r>
    </w:p>
    <w:p>
      <w:pPr>
        <w:spacing w:after="0" w:line="118"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color w:val="1E1E1E"/>
        </w:rPr>
        <w:t>TSA income is related to the Amphenol TSA executed in conjunction with the closing of the transactions to divest of the OWN segment and DAS business unit and the OneCell business, as well as the TSA we entered into with Vantiva in conjunction with the closing of the transaction to divest of the Home business. Under the TSAs, we provide and receive certain post-closing support on a transitional basis. As of the year ended December 31, 2024, the majority of the Vantiva TSA services had ceased. For additional information related to the TSAs, see Note 4 in the Notes to Consolidated Financial Statements included elsewhere in this Annual Report on Form 10-K.</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Selling, general and administrative expense</w:t>
      </w:r>
    </w:p>
    <w:p>
      <w:pPr>
        <w:spacing w:after="0" w:line="11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1E1E1E"/>
        </w:rPr>
        <w:t>For 2025, selling, general and administrative (SG&amp;A) expense increased by $25.4 million compared to 2024, primarily due to higher variable incentive compensation expense of $42.0 million and higher realization of cost savings in the prior year related to our transformation initiative, partially offset by lower transaction, transformation and integration costs of $33.5 million.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Research and development expense</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Research and development (R&amp;D) expense for 2025 increased by $36.0 million due to higher spending within both the RUCKUS and Aurora segments, but decreased as a percentage of sales, compared to the prior year. R&amp;D activities generally involve ensuring that our products are capable of meeting the evolving technological needs of our customers, bringing new products to market and modifying existing products to better serve our customers.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Amortization of purchased intangible assets, Restructuring costs, net and Other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3260" w:type="dxa"/>
            <w:vAlign w:val="bottom"/>
            <w:tcBorders>
              <w:bottom w:val="single" w:sz="8" w:color="1E1E1E"/>
            </w:tcBorders>
            <w:gridSpan w:val="5"/>
          </w:tcPr>
          <w:p>
            <w:pPr>
              <w:jc w:val="right"/>
              <w:ind w:right="648"/>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6"/>
                <w:szCs w:val="16"/>
                <w:b w:val="1"/>
                <w:bCs w:val="1"/>
                <w:color w:val="1E1E1E"/>
              </w:rPr>
              <w:t>%</w:t>
            </w:r>
          </w:p>
        </w:tc>
        <w:tc>
          <w:tcPr>
            <w:tcW w:w="300" w:type="dxa"/>
            <w:vAlign w:val="bottom"/>
          </w:tcPr>
          <w:p>
            <w:pPr>
              <w:spacing w:after="0"/>
              <w:rPr>
                <w:sz w:val="17"/>
                <w:szCs w:val="17"/>
                <w:color w:val="auto"/>
              </w:rPr>
            </w:pPr>
          </w:p>
        </w:tc>
      </w:tr>
      <w:tr>
        <w:trPr>
          <w:trHeight w:val="193"/>
        </w:trPr>
        <w:tc>
          <w:tcPr>
            <w:tcW w:w="4280" w:type="dxa"/>
            <w:vAlign w:val="bottom"/>
          </w:tcPr>
          <w:p>
            <w:pPr>
              <w:spacing w:after="0"/>
              <w:rPr>
                <w:sz w:val="16"/>
                <w:szCs w:val="16"/>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500" w:type="dxa"/>
            <w:vAlign w:val="bottom"/>
            <w:tcBorders>
              <w:bottom w:val="single" w:sz="8" w:color="1E1E1E"/>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1E1E1E"/>
            </w:tcBorders>
          </w:tcPr>
          <w:p>
            <w:pPr>
              <w:spacing w:after="0"/>
              <w:rPr>
                <w:sz w:val="16"/>
                <w:szCs w:val="16"/>
                <w:color w:val="auto"/>
              </w:rPr>
            </w:pPr>
          </w:p>
        </w:tc>
        <w:tc>
          <w:tcPr>
            <w:tcW w:w="1200" w:type="dxa"/>
            <w:vAlign w:val="bottom"/>
            <w:tcBorders>
              <w:bottom w:val="single" w:sz="8" w:color="1E1E1E"/>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20" w:type="dxa"/>
            <w:vAlign w:val="bottom"/>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80" w:type="dxa"/>
            <w:vAlign w:val="bottom"/>
            <w:tcBorders>
              <w:bottom w:val="single" w:sz="8" w:color="1E1E1E"/>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320" w:type="dxa"/>
            <w:vAlign w:val="bottom"/>
          </w:tcPr>
          <w:p>
            <w:pPr>
              <w:spacing w:after="0"/>
              <w:rPr>
                <w:sz w:val="16"/>
                <w:szCs w:val="16"/>
                <w:color w:val="auto"/>
              </w:rPr>
            </w:pPr>
          </w:p>
        </w:tc>
        <w:tc>
          <w:tcPr>
            <w:tcW w:w="10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Change</w:t>
            </w:r>
          </w:p>
        </w:tc>
        <w:tc>
          <w:tcPr>
            <w:tcW w:w="300" w:type="dxa"/>
            <w:vAlign w:val="bottom"/>
          </w:tcPr>
          <w:p>
            <w:pPr>
              <w:spacing w:after="0"/>
              <w:rPr>
                <w:sz w:val="16"/>
                <w:szCs w:val="16"/>
                <w:color w:val="auto"/>
              </w:rPr>
            </w:pPr>
          </w:p>
        </w:tc>
      </w:tr>
      <w:tr>
        <w:trPr>
          <w:trHeight w:val="193"/>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1E1E1E"/>
              </w:rPr>
              <w:t>(dollars in</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w w:val="80"/>
              </w:rPr>
              <w:t>millions)</w:t>
            </w: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3"/>
        </w:trPr>
        <w:tc>
          <w:tcPr>
            <w:tcW w:w="4280" w:type="dxa"/>
            <w:vAlign w:val="bottom"/>
            <w:shd w:val="clear" w:color="auto" w:fill="E1E1E1"/>
          </w:tcPr>
          <w:p>
            <w:pPr>
              <w:spacing w:after="0" w:line="223" w:lineRule="exact"/>
              <w:rPr>
                <w:sz w:val="20"/>
                <w:szCs w:val="20"/>
                <w:color w:val="auto"/>
              </w:rPr>
            </w:pPr>
            <w:r>
              <w:rPr>
                <w:rFonts w:ascii="Times New Roman" w:cs="Times New Roman" w:eastAsia="Times New Roman" w:hAnsi="Times New Roman"/>
                <w:sz w:val="20"/>
                <w:szCs w:val="20"/>
                <w:color w:val="1E1E1E"/>
              </w:rPr>
              <w:t>Amortization of purchased</w:t>
            </w:r>
          </w:p>
        </w:tc>
        <w:tc>
          <w:tcPr>
            <w:tcW w:w="880" w:type="dxa"/>
            <w:vAlign w:val="bottom"/>
            <w:shd w:val="clear" w:color="auto" w:fill="E1E1E1"/>
          </w:tcPr>
          <w:p>
            <w:pPr>
              <w:spacing w:after="0"/>
              <w:rPr>
                <w:sz w:val="19"/>
                <w:szCs w:val="19"/>
                <w:color w:val="auto"/>
              </w:rPr>
            </w:pPr>
          </w:p>
        </w:tc>
        <w:tc>
          <w:tcPr>
            <w:tcW w:w="500" w:type="dxa"/>
            <w:vAlign w:val="bottom"/>
            <w:shd w:val="clear" w:color="auto" w:fill="E1E1E1"/>
          </w:tcPr>
          <w:p>
            <w:pPr>
              <w:spacing w:after="0"/>
              <w:rPr>
                <w:sz w:val="19"/>
                <w:szCs w:val="19"/>
                <w:color w:val="auto"/>
              </w:rPr>
            </w:pPr>
          </w:p>
        </w:tc>
        <w:tc>
          <w:tcPr>
            <w:tcW w:w="340" w:type="dxa"/>
            <w:vAlign w:val="bottom"/>
            <w:shd w:val="clear" w:color="auto" w:fill="E1E1E1"/>
          </w:tcPr>
          <w:p>
            <w:pPr>
              <w:spacing w:after="0"/>
              <w:rPr>
                <w:sz w:val="19"/>
                <w:szCs w:val="19"/>
                <w:color w:val="auto"/>
              </w:rPr>
            </w:pPr>
          </w:p>
        </w:tc>
        <w:tc>
          <w:tcPr>
            <w:tcW w:w="340" w:type="dxa"/>
            <w:vAlign w:val="bottom"/>
            <w:shd w:val="clear" w:color="auto" w:fill="E1E1E1"/>
          </w:tcPr>
          <w:p>
            <w:pPr>
              <w:spacing w:after="0"/>
              <w:rPr>
                <w:sz w:val="19"/>
                <w:szCs w:val="19"/>
                <w:color w:val="auto"/>
              </w:rPr>
            </w:pPr>
          </w:p>
        </w:tc>
        <w:tc>
          <w:tcPr>
            <w:tcW w:w="1200" w:type="dxa"/>
            <w:vAlign w:val="bottom"/>
            <w:shd w:val="clear" w:color="auto" w:fill="E1E1E1"/>
          </w:tcPr>
          <w:p>
            <w:pPr>
              <w:spacing w:after="0"/>
              <w:rPr>
                <w:sz w:val="19"/>
                <w:szCs w:val="19"/>
                <w:color w:val="auto"/>
              </w:rPr>
            </w:pPr>
          </w:p>
        </w:tc>
        <w:tc>
          <w:tcPr>
            <w:tcW w:w="32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980" w:type="dxa"/>
            <w:vAlign w:val="bottom"/>
            <w:shd w:val="clear" w:color="auto" w:fill="E1E1E1"/>
          </w:tcPr>
          <w:p>
            <w:pPr>
              <w:spacing w:after="0"/>
              <w:rPr>
                <w:sz w:val="19"/>
                <w:szCs w:val="19"/>
                <w:color w:val="auto"/>
              </w:rPr>
            </w:pPr>
          </w:p>
        </w:tc>
        <w:tc>
          <w:tcPr>
            <w:tcW w:w="320" w:type="dxa"/>
            <w:vAlign w:val="bottom"/>
            <w:shd w:val="clear" w:color="auto" w:fill="E1E1E1"/>
          </w:tcPr>
          <w:p>
            <w:pPr>
              <w:spacing w:after="0"/>
              <w:rPr>
                <w:sz w:val="19"/>
                <w:szCs w:val="19"/>
                <w:color w:val="auto"/>
              </w:rPr>
            </w:pPr>
          </w:p>
        </w:tc>
        <w:tc>
          <w:tcPr>
            <w:tcW w:w="1080" w:type="dxa"/>
            <w:vAlign w:val="bottom"/>
            <w:shd w:val="clear" w:color="auto" w:fill="E1E1E1"/>
          </w:tcPr>
          <w:p>
            <w:pPr>
              <w:spacing w:after="0"/>
              <w:rPr>
                <w:sz w:val="19"/>
                <w:szCs w:val="19"/>
                <w:color w:val="auto"/>
              </w:rPr>
            </w:pPr>
          </w:p>
        </w:tc>
        <w:tc>
          <w:tcPr>
            <w:tcW w:w="300" w:type="dxa"/>
            <w:vAlign w:val="bottom"/>
            <w:shd w:val="clear" w:color="auto" w:fill="E1E1E1"/>
          </w:tcPr>
          <w:p>
            <w:pPr>
              <w:spacing w:after="0"/>
              <w:rPr>
                <w:sz w:val="19"/>
                <w:szCs w:val="19"/>
                <w:color w:val="auto"/>
              </w:rPr>
            </w:pPr>
          </w:p>
        </w:tc>
      </w:tr>
      <w:tr>
        <w:trPr>
          <w:trHeight w:val="251"/>
        </w:trPr>
        <w:tc>
          <w:tcPr>
            <w:tcW w:w="4280" w:type="dxa"/>
            <w:vAlign w:val="bottom"/>
            <w:shd w:val="clear" w:color="auto" w:fill="E1E1E1"/>
          </w:tcPr>
          <w:p>
            <w:pPr>
              <w:ind w:left="140"/>
              <w:spacing w:after="0"/>
              <w:rPr>
                <w:sz w:val="20"/>
                <w:szCs w:val="20"/>
                <w:color w:val="auto"/>
              </w:rPr>
            </w:pPr>
            <w:r>
              <w:rPr>
                <w:rFonts w:ascii="Times New Roman" w:cs="Times New Roman" w:eastAsia="Times New Roman" w:hAnsi="Times New Roman"/>
                <w:sz w:val="20"/>
                <w:szCs w:val="20"/>
                <w:color w:val="1E1E1E"/>
              </w:rPr>
              <w:t>intangible assets</w:t>
            </w:r>
          </w:p>
        </w:tc>
        <w:tc>
          <w:tcPr>
            <w:tcW w:w="880" w:type="dxa"/>
            <w:vAlign w:val="bottom"/>
            <w:shd w:val="clear" w:color="auto" w:fill="E1E1E1"/>
          </w:tcPr>
          <w:p>
            <w:pPr>
              <w:jc w:val="right"/>
              <w:ind w:right="693"/>
              <w:spacing w:after="0"/>
              <w:rPr>
                <w:sz w:val="20"/>
                <w:szCs w:val="20"/>
                <w:color w:val="auto"/>
              </w:rPr>
            </w:pPr>
            <w:r>
              <w:rPr>
                <w:rFonts w:ascii="Times New Roman" w:cs="Times New Roman" w:eastAsia="Times New Roman" w:hAnsi="Times New Roman"/>
                <w:sz w:val="20"/>
                <w:szCs w:val="20"/>
                <w:color w:val="1E1E1E"/>
                <w:w w:val="79"/>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138.4</w:t>
            </w:r>
          </w:p>
        </w:tc>
        <w:tc>
          <w:tcPr>
            <w:tcW w:w="680" w:type="dxa"/>
            <w:vAlign w:val="bottom"/>
            <w:gridSpan w:val="2"/>
            <w:shd w:val="clear" w:color="auto" w:fill="E1E1E1"/>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165.1</w:t>
            </w:r>
          </w:p>
        </w:tc>
        <w:tc>
          <w:tcPr>
            <w:tcW w:w="580" w:type="dxa"/>
            <w:vAlign w:val="bottom"/>
            <w:gridSpan w:val="2"/>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300" w:type="dxa"/>
            <w:vAlign w:val="bottom"/>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(26.7)</w:t>
            </w:r>
          </w:p>
        </w:tc>
        <w:tc>
          <w:tcPr>
            <w:tcW w:w="1380" w:type="dxa"/>
            <w:vAlign w:val="bottom"/>
            <w:gridSpan w:val="2"/>
            <w:shd w:val="clear" w:color="auto" w:fill="E1E1E1"/>
          </w:tcPr>
          <w:p>
            <w:pPr>
              <w:ind w:left="660"/>
              <w:spacing w:after="0"/>
              <w:rPr>
                <w:sz w:val="20"/>
                <w:szCs w:val="20"/>
                <w:color w:val="auto"/>
              </w:rPr>
            </w:pPr>
            <w:r>
              <w:rPr>
                <w:rFonts w:ascii="Times New Roman" w:cs="Times New Roman" w:eastAsia="Times New Roman" w:hAnsi="Times New Roman"/>
                <w:sz w:val="20"/>
                <w:szCs w:val="20"/>
                <w:color w:val="1E1E1E"/>
              </w:rPr>
              <w:t>(16.2)%</w:t>
            </w:r>
          </w:p>
        </w:tc>
      </w:tr>
      <w:tr>
        <w:trPr>
          <w:trHeight w:val="244"/>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1E1E1E"/>
              </w:rPr>
              <w:t>Restructuring costs, net</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36.7</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(17.0)</w:t>
            </w:r>
          </w:p>
        </w:tc>
        <w:tc>
          <w:tcPr>
            <w:tcW w:w="13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1E1E1E"/>
              </w:rPr>
              <w:t>(46.3)</w:t>
            </w:r>
          </w:p>
        </w:tc>
      </w:tr>
      <w:tr>
        <w:trPr>
          <w:trHeight w:val="244"/>
        </w:trPr>
        <w:tc>
          <w:tcPr>
            <w:tcW w:w="42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w:t>
            </w:r>
          </w:p>
        </w:tc>
        <w:tc>
          <w:tcPr>
            <w:tcW w:w="880" w:type="dxa"/>
            <w:vAlign w:val="bottom"/>
            <w:shd w:val="clear" w:color="auto" w:fill="E1E1E1"/>
          </w:tcPr>
          <w:p>
            <w:pPr>
              <w:spacing w:after="0"/>
              <w:rPr>
                <w:sz w:val="21"/>
                <w:szCs w:val="21"/>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34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12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320" w:type="dxa"/>
            <w:vAlign w:val="bottom"/>
            <w:shd w:val="clear" w:color="auto" w:fill="E1E1E1"/>
          </w:tcPr>
          <w:p>
            <w:pPr>
              <w:spacing w:after="0"/>
              <w:rPr>
                <w:sz w:val="21"/>
                <w:szCs w:val="21"/>
                <w:color w:val="auto"/>
              </w:rPr>
            </w:pPr>
          </w:p>
        </w:tc>
        <w:tc>
          <w:tcPr>
            <w:tcW w:w="1380" w:type="dxa"/>
            <w:vAlign w:val="bottom"/>
            <w:gridSpan w:val="2"/>
            <w:shd w:val="clear" w:color="auto" w:fill="E1E1E1"/>
          </w:tcPr>
          <w:p>
            <w:pPr>
              <w:ind w:left="740"/>
              <w:spacing w:after="0"/>
              <w:rPr>
                <w:sz w:val="20"/>
                <w:szCs w:val="20"/>
                <w:color w:val="auto"/>
              </w:rPr>
            </w:pPr>
            <w:r>
              <w:rPr>
                <w:rFonts w:ascii="Times New Roman" w:cs="Times New Roman" w:eastAsia="Times New Roman" w:hAnsi="Times New Roman"/>
                <w:sz w:val="20"/>
                <w:szCs w:val="20"/>
                <w:color w:val="1E1E1E"/>
              </w:rPr>
              <w:t>NM</w:t>
            </w: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NM – Not meaningful</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40</w:t>
      </w:r>
    </w:p>
    <w:p>
      <w:pPr>
        <w:sectPr>
          <w:pgSz w:w="11880" w:h="15480" w:orient="portrait"/>
          <w:cols w:equalWidth="0" w:num="1">
            <w:col w:w="10800"/>
          </w:cols>
          <w:pgMar w:left="540" w:top="1235" w:right="54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i w:val="1"/>
          <w:iCs w:val="1"/>
          <w:color w:val="1E1E1E"/>
        </w:rPr>
        <w:t>Amortization of purchased intangible assets</w:t>
      </w:r>
    </w:p>
    <w:p>
      <w:pPr>
        <w:spacing w:after="0" w:line="198"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1E1E1E"/>
        </w:rPr>
        <w:t>The amortization of purchased intangible assets was lower in 2025 compared to the prior year because certain of our intangible assets became fully amortized.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Restructuring costs, net</w:t>
      </w:r>
    </w:p>
    <w:p>
      <w:pPr>
        <w:spacing w:after="0" w:line="11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The net restructuring costs recorded in 2025 were primarily related to our transformation initiative. For the year ended December 31, 2025, our net restructuring costs were $19.7 million and we paid $9.5 million to settle restructuring liabilities. We expect to make cash payments of $4.6 million in 2026 and $0.3 million during 2027 to settle our transformation restructuring actions. Additional restructuring actions related to our transformation initiative are expected to be identified, and the resulting charges and cash requirements could be material.</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Other</w:t>
      </w:r>
    </w:p>
    <w:p>
      <w:pPr>
        <w:spacing w:after="0" w:line="11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1E1E1E"/>
        </w:rPr>
        <w:t>For the year ended December 31, 2025, the change in other represents the pretax loss of $4.8 million on the sale of our OneCell business to Amphenol, which was completed in May 2025. For additional information related to the disposal of our OneCell business, see Note 4 in the Notes to Consolidated Financial Statements included elsewhere in this Annual Report on Form 10-K.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Other income (expense),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40" w:type="dxa"/>
            <w:vAlign w:val="bottom"/>
            <w:tcBorders>
              <w:bottom w:val="single" w:sz="8" w:color="1E1E1E"/>
            </w:tcBorders>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520" w:type="dxa"/>
            <w:vAlign w:val="bottom"/>
            <w:tcBorders>
              <w:bottom w:val="single" w:sz="8" w:color="1E1E1E"/>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6"/>
                <w:szCs w:val="16"/>
                <w:b w:val="1"/>
                <w:bCs w:val="1"/>
                <w:color w:val="1E1E1E"/>
              </w:rPr>
              <w:t>%</w:t>
            </w:r>
          </w:p>
        </w:tc>
        <w:tc>
          <w:tcPr>
            <w:tcW w:w="300" w:type="dxa"/>
            <w:vAlign w:val="bottom"/>
          </w:tcPr>
          <w:p>
            <w:pPr>
              <w:spacing w:after="0"/>
              <w:rPr>
                <w:sz w:val="17"/>
                <w:szCs w:val="17"/>
                <w:color w:val="auto"/>
              </w:rPr>
            </w:pPr>
          </w:p>
        </w:tc>
      </w:tr>
      <w:tr>
        <w:trPr>
          <w:trHeight w:val="193"/>
        </w:trPr>
        <w:tc>
          <w:tcPr>
            <w:tcW w:w="3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Change</w:t>
            </w:r>
          </w:p>
        </w:tc>
      </w:tr>
      <w:tr>
        <w:trPr>
          <w:trHeight w:val="193"/>
        </w:trPr>
        <w:tc>
          <w:tcPr>
            <w:tcW w:w="3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Borders>
              <w:top w:val="single" w:sz="8" w:color="1E1E1E"/>
            </w:tcBorders>
          </w:tcPr>
          <w:p>
            <w:pPr>
              <w:spacing w:after="0"/>
              <w:rPr>
                <w:sz w:val="16"/>
                <w:szCs w:val="16"/>
                <w:color w:val="auto"/>
              </w:rPr>
            </w:pPr>
          </w:p>
        </w:tc>
        <w:tc>
          <w:tcPr>
            <w:tcW w:w="440" w:type="dxa"/>
            <w:vAlign w:val="bottom"/>
            <w:tcBorders>
              <w:top w:val="single" w:sz="8" w:color="1E1E1E"/>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1E1E1E"/>
            </w:tcBorders>
          </w:tcPr>
          <w:p>
            <w:pPr>
              <w:spacing w:after="0"/>
              <w:rPr>
                <w:sz w:val="16"/>
                <w:szCs w:val="16"/>
                <w:color w:val="auto"/>
              </w:rPr>
            </w:pPr>
          </w:p>
        </w:tc>
        <w:tc>
          <w:tcPr>
            <w:tcW w:w="5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w w:val="95"/>
              </w:rPr>
              <w:t>(dollars</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1E1E1E"/>
              </w:rPr>
              <w:t>in</w:t>
            </w:r>
          </w:p>
        </w:tc>
        <w:tc>
          <w:tcPr>
            <w:tcW w:w="1360" w:type="dxa"/>
            <w:vAlign w:val="bottom"/>
            <w:tcBorders>
              <w:top w:val="single" w:sz="8" w:color="1E1E1E"/>
            </w:tcBorders>
            <w:gridSpan w:val="2"/>
          </w:tcPr>
          <w:p>
            <w:pPr>
              <w:spacing w:after="0"/>
              <w:rPr>
                <w:sz w:val="20"/>
                <w:szCs w:val="20"/>
                <w:color w:val="auto"/>
              </w:rPr>
            </w:pPr>
            <w:r>
              <w:rPr>
                <w:rFonts w:ascii="Times New Roman" w:cs="Times New Roman" w:eastAsia="Times New Roman" w:hAnsi="Times New Roman"/>
                <w:sz w:val="16"/>
                <w:szCs w:val="16"/>
                <w:b w:val="1"/>
                <w:bCs w:val="1"/>
                <w:color w:val="1E1E1E"/>
              </w:rPr>
              <w:t>millions)</w:t>
            </w:r>
          </w:p>
        </w:tc>
        <w:tc>
          <w:tcPr>
            <w:tcW w:w="240" w:type="dxa"/>
            <w:vAlign w:val="bottom"/>
          </w:tcPr>
          <w:p>
            <w:pPr>
              <w:spacing w:after="0"/>
              <w:rPr>
                <w:sz w:val="16"/>
                <w:szCs w:val="16"/>
                <w:color w:val="auto"/>
              </w:rPr>
            </w:pPr>
          </w:p>
        </w:tc>
        <w:tc>
          <w:tcPr>
            <w:tcW w:w="1460" w:type="dxa"/>
            <w:vAlign w:val="bottom"/>
            <w:tcBorders>
              <w:top w:val="single" w:sz="8" w:color="1E1E1E"/>
            </w:tcBorders>
          </w:tcPr>
          <w:p>
            <w:pPr>
              <w:spacing w:after="0"/>
              <w:rPr>
                <w:sz w:val="16"/>
                <w:szCs w:val="16"/>
                <w:color w:val="auto"/>
              </w:rPr>
            </w:pPr>
          </w:p>
        </w:tc>
        <w:tc>
          <w:tcPr>
            <w:tcW w:w="300" w:type="dxa"/>
            <w:vAlign w:val="bottom"/>
          </w:tcPr>
          <w:p>
            <w:pPr>
              <w:spacing w:after="0"/>
              <w:rPr>
                <w:sz w:val="16"/>
                <w:szCs w:val="16"/>
                <w:color w:val="auto"/>
              </w:rPr>
            </w:pPr>
          </w:p>
        </w:tc>
      </w:tr>
      <w:tr>
        <w:trPr>
          <w:trHeight w:val="244"/>
        </w:trPr>
        <w:tc>
          <w:tcPr>
            <w:tcW w:w="32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Foreign currency gain (loss)</w:t>
            </w:r>
          </w:p>
        </w:tc>
        <w:tc>
          <w:tcPr>
            <w:tcW w:w="1900" w:type="dxa"/>
            <w:vAlign w:val="bottom"/>
            <w:gridSpan w:val="2"/>
            <w:shd w:val="clear" w:color="auto" w:fill="E1E1E1"/>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580" w:type="dxa"/>
            <w:vAlign w:val="bottom"/>
            <w:gridSpan w:val="2"/>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rPr>
              <w:t>(8.0)</w:t>
            </w:r>
          </w:p>
        </w:tc>
        <w:tc>
          <w:tcPr>
            <w:tcW w:w="940" w:type="dxa"/>
            <w:vAlign w:val="bottom"/>
            <w:gridSpan w:val="2"/>
            <w:shd w:val="clear" w:color="auto" w:fill="E1E1E1"/>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500" w:type="dxa"/>
            <w:vAlign w:val="bottom"/>
            <w:gridSpan w:val="2"/>
            <w:shd w:val="clear" w:color="auto" w:fill="E1E1E1"/>
          </w:tcPr>
          <w:p>
            <w:pPr>
              <w:ind w:left="240"/>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gridSpan w:val="2"/>
            <w:shd w:val="clear" w:color="auto" w:fill="E1E1E1"/>
          </w:tcPr>
          <w:p>
            <w:pPr>
              <w:jc w:val="right"/>
              <w:ind w:right="180"/>
              <w:spacing w:after="0"/>
              <w:rPr>
                <w:sz w:val="20"/>
                <w:szCs w:val="20"/>
                <w:color w:val="auto"/>
              </w:rPr>
            </w:pPr>
            <w:r>
              <w:rPr>
                <w:rFonts w:ascii="Times New Roman" w:cs="Times New Roman" w:eastAsia="Times New Roman" w:hAnsi="Times New Roman"/>
                <w:sz w:val="20"/>
                <w:szCs w:val="20"/>
                <w:color w:val="1E1E1E"/>
              </w:rPr>
              <w:t>(14.2)</w:t>
            </w:r>
          </w:p>
        </w:tc>
        <w:tc>
          <w:tcPr>
            <w:tcW w:w="1760" w:type="dxa"/>
            <w:vAlign w:val="bottom"/>
            <w:gridSpan w:val="2"/>
            <w:shd w:val="clear" w:color="auto" w:fill="E1E1E1"/>
          </w:tcPr>
          <w:p>
            <w:pPr>
              <w:ind w:left="940"/>
              <w:spacing w:after="0"/>
              <w:rPr>
                <w:sz w:val="20"/>
                <w:szCs w:val="20"/>
                <w:color w:val="auto"/>
              </w:rPr>
            </w:pPr>
            <w:r>
              <w:rPr>
                <w:rFonts w:ascii="Times New Roman" w:cs="Times New Roman" w:eastAsia="Times New Roman" w:hAnsi="Times New Roman"/>
                <w:sz w:val="20"/>
                <w:szCs w:val="20"/>
                <w:color w:val="1E1E1E"/>
              </w:rPr>
              <w:t>(229.0)%</w:t>
            </w:r>
          </w:p>
        </w:tc>
      </w:tr>
      <w:tr>
        <w:trPr>
          <w:trHeight w:val="268"/>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(1.4)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(3.1)</w:t>
            </w:r>
          </w:p>
        </w:tc>
        <w:tc>
          <w:tcPr>
            <w:tcW w:w="176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1E1E1E"/>
              </w:rPr>
              <w:t>(182.4)</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Foreign currency gain (loss)</w:t>
      </w:r>
    </w:p>
    <w:p>
      <w:pPr>
        <w:spacing w:after="0" w:line="11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1E1E1E"/>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in 2025 compared to 2024 was primarily driven by certain unhedged currencies.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Other income (expense),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change in other income (expense), net in 2025 compared to 2024 was not significant.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Interest expense, Interest income and Income taxes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960" w:type="dxa"/>
            <w:vAlign w:val="bottom"/>
            <w:tcBorders>
              <w:bottom w:val="single" w:sz="8" w:color="1E1E1E"/>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580" w:type="dxa"/>
            <w:vAlign w:val="bottom"/>
            <w:tcBorders>
              <w:bottom w:val="single" w:sz="8" w:color="1E1E1E"/>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1E1E1E"/>
              </w:rPr>
              <w:t>%</w:t>
            </w:r>
          </w:p>
        </w:tc>
        <w:tc>
          <w:tcPr>
            <w:tcW w:w="220" w:type="dxa"/>
            <w:vAlign w:val="bottom"/>
          </w:tcPr>
          <w:p>
            <w:pPr>
              <w:spacing w:after="0"/>
              <w:rPr>
                <w:sz w:val="17"/>
                <w:szCs w:val="17"/>
                <w:color w:val="auto"/>
              </w:rPr>
            </w:pPr>
          </w:p>
        </w:tc>
      </w:tr>
      <w:tr>
        <w:trPr>
          <w:trHeight w:val="193"/>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540" w:type="dxa"/>
            <w:vAlign w:val="bottom"/>
            <w:tcBorders>
              <w:bottom w:val="single" w:sz="8" w:color="1E1E1E"/>
            </w:tcBorders>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80" w:type="dxa"/>
            <w:vAlign w:val="bottom"/>
            <w:tcBorders>
              <w:bottom w:val="single" w:sz="8" w:color="1E1E1E"/>
            </w:tcBorders>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bottom w:val="single" w:sz="8" w:color="1E1E1E"/>
            </w:tcBorders>
          </w:tcPr>
          <w:p>
            <w:pPr>
              <w:spacing w:after="0"/>
              <w:rPr>
                <w:sz w:val="16"/>
                <w:szCs w:val="16"/>
                <w:color w:val="auto"/>
              </w:rPr>
            </w:pPr>
          </w:p>
        </w:tc>
        <w:tc>
          <w:tcPr>
            <w:tcW w:w="1100" w:type="dxa"/>
            <w:vAlign w:val="bottom"/>
            <w:tcBorders>
              <w:bottom w:val="single" w:sz="8" w:color="1E1E1E"/>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380" w:type="dxa"/>
            <w:vAlign w:val="bottom"/>
          </w:tcPr>
          <w:p>
            <w:pPr>
              <w:spacing w:after="0"/>
              <w:rPr>
                <w:sz w:val="16"/>
                <w:szCs w:val="16"/>
                <w:color w:val="auto"/>
              </w:rPr>
            </w:pPr>
          </w:p>
        </w:tc>
        <w:tc>
          <w:tcPr>
            <w:tcW w:w="1480" w:type="dxa"/>
            <w:vAlign w:val="bottom"/>
            <w:tcBorders>
              <w:bottom w:val="single" w:sz="8" w:color="1E1E1E"/>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220" w:type="dxa"/>
            <w:vAlign w:val="bottom"/>
          </w:tcPr>
          <w:p>
            <w:pPr>
              <w:spacing w:after="0"/>
              <w:rPr>
                <w:sz w:val="16"/>
                <w:szCs w:val="16"/>
                <w:color w:val="auto"/>
              </w:rPr>
            </w:pPr>
          </w:p>
        </w:tc>
      </w:tr>
      <w:tr>
        <w:trPr>
          <w:trHeight w:val="193"/>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(dollars</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w w:val="98"/>
              </w:rPr>
              <w:t>in millions)</w:t>
            </w: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44"/>
        </w:trPr>
        <w:tc>
          <w:tcPr>
            <w:tcW w:w="23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Interest income</w:t>
            </w:r>
          </w:p>
        </w:tc>
        <w:tc>
          <w:tcPr>
            <w:tcW w:w="1900" w:type="dxa"/>
            <w:vAlign w:val="bottom"/>
            <w:gridSpan w:val="2"/>
            <w:shd w:val="clear" w:color="auto" w:fill="E1E1E1"/>
          </w:tcPr>
          <w:p>
            <w:pPr>
              <w:jc w:val="right"/>
              <w:ind w:right="86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16.7</w:t>
            </w:r>
          </w:p>
        </w:tc>
        <w:tc>
          <w:tcPr>
            <w:tcW w:w="1380" w:type="dxa"/>
            <w:vAlign w:val="bottom"/>
            <w:gridSpan w:val="2"/>
            <w:shd w:val="clear" w:color="auto" w:fill="E1E1E1"/>
          </w:tcPr>
          <w:p>
            <w:pPr>
              <w:jc w:val="right"/>
              <w:ind w:right="820"/>
              <w:spacing w:after="0"/>
              <w:rPr>
                <w:sz w:val="20"/>
                <w:szCs w:val="20"/>
                <w:color w:val="auto"/>
              </w:rPr>
            </w:pPr>
            <w:r>
              <w:rPr>
                <w:rFonts w:ascii="Times New Roman" w:cs="Times New Roman" w:eastAsia="Times New Roman" w:hAnsi="Times New Roman"/>
                <w:sz w:val="20"/>
                <w:szCs w:val="20"/>
                <w:color w:val="1E1E1E"/>
              </w:rPr>
              <w:t>$</w:t>
            </w:r>
          </w:p>
        </w:tc>
        <w:tc>
          <w:tcPr>
            <w:tcW w:w="5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860" w:type="dxa"/>
            <w:vAlign w:val="bottom"/>
            <w:gridSpan w:val="2"/>
            <w:shd w:val="clear" w:color="auto" w:fill="E1E1E1"/>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5.8</w:t>
            </w:r>
          </w:p>
        </w:tc>
        <w:tc>
          <w:tcPr>
            <w:tcW w:w="2080" w:type="dxa"/>
            <w:vAlign w:val="bottom"/>
            <w:gridSpan w:val="3"/>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53.2%</w:t>
            </w:r>
          </w:p>
        </w:tc>
      </w:tr>
      <w:tr>
        <w:trPr>
          <w:trHeight w:val="268"/>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1E1E1E"/>
              </w:rPr>
              <w:t>Income tax benefit</w:t>
            </w:r>
          </w:p>
        </w:tc>
        <w:tc>
          <w:tcPr>
            <w:tcW w:w="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269.4</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66.9</w:t>
            </w: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302.7</w:t>
            </w:r>
          </w:p>
        </w:tc>
        <w:tc>
          <w:tcPr>
            <w:tcW w:w="220" w:type="dxa"/>
            <w:vAlign w:val="bottom"/>
          </w:tcPr>
          <w:p>
            <w:pPr>
              <w:spacing w:after="0"/>
              <w:rPr>
                <w:sz w:val="23"/>
                <w:szCs w:val="23"/>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Interest expense</w:t>
      </w:r>
    </w:p>
    <w:p>
      <w:pPr>
        <w:spacing w:after="0" w:line="118" w:lineRule="exact"/>
        <w:rPr>
          <w:sz w:val="20"/>
          <w:szCs w:val="20"/>
          <w:color w:val="auto"/>
        </w:rPr>
      </w:pPr>
    </w:p>
    <w:p>
      <w:pPr>
        <w:ind w:right="280"/>
        <w:spacing w:after="0" w:line="253" w:lineRule="exact"/>
        <w:rPr>
          <w:sz w:val="20"/>
          <w:szCs w:val="20"/>
          <w:color w:val="auto"/>
        </w:rPr>
      </w:pPr>
      <w:r>
        <w:rPr>
          <w:rFonts w:ascii="Times New Roman" w:cs="Times New Roman" w:eastAsia="Times New Roman" w:hAnsi="Times New Roman"/>
          <w:sz w:val="20"/>
          <w:szCs w:val="20"/>
          <w:color w:val="1E1E1E"/>
        </w:rPr>
        <w:t>In connection with the sale of the CCS segment that was completed subsequent to the fiscal year end on January 9, 2026, we repaid our third</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party debt at closing, and all interest expense was reported within discontinued operations. However, we expect to incur interest expense in the future.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Interest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change in interest income in 2025 compared to 2024 was not significant.</w:t>
      </w:r>
    </w:p>
    <w:p>
      <w:pPr>
        <w:sectPr>
          <w:pgSz w:w="11880" w:h="15480" w:orient="portrait"/>
          <w:cols w:equalWidth="0" w:num="1">
            <w:col w:w="10800"/>
          </w:cols>
          <w:pgMar w:left="540" w:top="12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41</w:t>
      </w:r>
    </w:p>
    <w:p>
      <w:pPr>
        <w:sectPr>
          <w:pgSz w:w="11880" w:h="15480" w:orient="portrait"/>
          <w:cols w:equalWidth="0" w:num="1">
            <w:col w:w="10800"/>
          </w:cols>
          <w:pgMar w:left="540" w:top="1240" w:right="54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1E1E1E"/>
        </w:rPr>
        <w:t>Income tax benefit</w:t>
      </w:r>
    </w:p>
    <w:p>
      <w:pPr>
        <w:spacing w:after="0" w:line="11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1E1E1E"/>
        </w:rPr>
        <w:t>On July 4, 2025, President Trump signed into law the One Big Beautiful Bill Act (OBBBA). The OBBBA makes permanent key elements of the Tax Cuts and Jobs Act, including 100% bonus depreciation, domestic research cost expensing and expansions to the business interest expense limitation. The effects of OBBBA are reflected in the consolidated financial statements for the year ended December 31, 2025.</w:t>
      </w:r>
    </w:p>
    <w:p>
      <w:pPr>
        <w:spacing w:after="0" w:line="19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For 2025, we recognized an income tax benefit of $ 269.4 million on pretax income of $54.9 million. For the year ended December 31, 2025, our income taxes were less than the statutory rate of 21% due to $259.8 million of tax benefit from the release of a valuation allowance as well as the tax benefit associated with federal tax credits. Offsetting these benefits for the year ended December 31, 2025, were non-deductible employee compensation expense of $25.6 million and the unfavorable impacts of U.S. anti-deferral provisions. See Note 13 in the Notes to Consolidated Financial Statements included elsewhere in this Annual Report on Form 10-K for more discussion of our income taxes.</w:t>
      </w:r>
    </w:p>
    <w:p>
      <w:pPr>
        <w:spacing w:after="0" w:line="2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1E1E1E"/>
        </w:rPr>
        <w:t>For 2024, we recognized an income tax benefit of $ 66.9 million on a pretax loss of $272.9 million. Our tax benefit was more than the statutory rate of 21.0% in 2024 primarily due to tax benefits related to federal tax credits. Our tax benefit was also impacted unfavorably by the U.S. anti-deferral provisions.</w:t>
      </w:r>
    </w:p>
    <w:p>
      <w:pPr>
        <w:sectPr>
          <w:pgSz w:w="11880" w:h="15480" w:orient="portrait"/>
          <w:cols w:equalWidth="0" w:num="1">
            <w:col w:w="10760"/>
          </w:cols>
          <w:pgMar w:left="540" w:top="12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42</w:t>
      </w:r>
    </w:p>
    <w:p>
      <w:pPr>
        <w:sectPr>
          <w:pgSz w:w="11880" w:h="15480" w:orient="portrait"/>
          <w:cols w:equalWidth="0" w:num="1">
            <w:col w:w="10760"/>
          </w:cols>
          <w:pgMar w:left="540" w:top="1240" w:right="5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i w:val="1"/>
          <w:iCs w:val="1"/>
          <w:color w:val="1E1E1E"/>
        </w:rPr>
        <w:t>Segment Results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2400" w:type="dxa"/>
            <w:vAlign w:val="bottom"/>
            <w:tcBorders>
              <w:bottom w:val="single" w:sz="8" w:color="1E1E1E"/>
            </w:tcBorders>
            <w:gridSpan w:val="7"/>
          </w:tcPr>
          <w:p>
            <w:pPr>
              <w:jc w:val="center"/>
              <w:ind w:right="44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0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00" w:type="dxa"/>
            <w:vAlign w:val="bottom"/>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080" w:type="dxa"/>
            <w:vAlign w:val="bottom"/>
            <w:tcBorders>
              <w:bottom w:val="single" w:sz="8" w:color="1E1E1E"/>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0" w:type="dxa"/>
            <w:vAlign w:val="bottom"/>
            <w:tcBorders>
              <w:bottom w:val="single" w:sz="8" w:color="1E1E1E"/>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040" w:type="dxa"/>
            <w:vAlign w:val="bottom"/>
            <w:tcBorders>
              <w:bottom w:val="single" w:sz="8" w:color="1E1E1E"/>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0" w:type="dxa"/>
            <w:vAlign w:val="bottom"/>
            <w:tcBorders>
              <w:bottom w:val="single" w:sz="8" w:color="1E1E1E"/>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1E1E1E"/>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44"/>
              <w:spacing w:after="0" w:line="174" w:lineRule="exact"/>
              <w:rPr>
                <w:sz w:val="20"/>
                <w:szCs w:val="20"/>
                <w:color w:val="auto"/>
              </w:rPr>
            </w:pPr>
            <w:r>
              <w:rPr>
                <w:rFonts w:ascii="Times New Roman" w:cs="Times New Roman" w:eastAsia="Times New Roman" w:hAnsi="Times New Roman"/>
                <w:sz w:val="16"/>
                <w:szCs w:val="16"/>
                <w:b w:val="1"/>
                <w:bCs w:val="1"/>
                <w:color w:val="1E1E1E"/>
              </w:rPr>
              <w:t>% of Net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23"/>
              <w:spacing w:after="0" w:line="174" w:lineRule="exact"/>
              <w:rPr>
                <w:sz w:val="20"/>
                <w:szCs w:val="20"/>
                <w:color w:val="auto"/>
              </w:rPr>
            </w:pPr>
            <w:r>
              <w:rPr>
                <w:rFonts w:ascii="Times New Roman" w:cs="Times New Roman" w:eastAsia="Times New Roman" w:hAnsi="Times New Roman"/>
                <w:sz w:val="16"/>
                <w:szCs w:val="16"/>
                <w:b w:val="1"/>
                <w:bCs w:val="1"/>
                <w:color w:val="1E1E1E"/>
              </w:rPr>
              <w:t>% of Net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20" w:type="dxa"/>
            <w:vAlign w:val="bottom"/>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800" w:type="dxa"/>
            <w:vAlign w:val="bottom"/>
            <w:tcBorders>
              <w:bottom w:val="single" w:sz="8" w:color="1E1E1E"/>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1E1E1E"/>
              </w:rPr>
              <w:t>Sales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200" w:type="dxa"/>
            <w:vAlign w:val="bottom"/>
          </w:tcPr>
          <w:p>
            <w:pPr>
              <w:spacing w:after="0"/>
              <w:rPr>
                <w:sz w:val="17"/>
                <w:szCs w:val="17"/>
                <w:color w:val="auto"/>
              </w:rPr>
            </w:pPr>
          </w:p>
        </w:tc>
        <w:tc>
          <w:tcPr>
            <w:tcW w:w="60" w:type="dxa"/>
            <w:vAlign w:val="bottom"/>
            <w:tcBorders>
              <w:bottom w:val="single" w:sz="8" w:color="1E1E1E"/>
            </w:tcBorders>
          </w:tcPr>
          <w:p>
            <w:pPr>
              <w:spacing w:after="0"/>
              <w:rPr>
                <w:sz w:val="17"/>
                <w:szCs w:val="17"/>
                <w:color w:val="auto"/>
              </w:rPr>
            </w:pPr>
          </w:p>
        </w:tc>
        <w:tc>
          <w:tcPr>
            <w:tcW w:w="800" w:type="dxa"/>
            <w:vAlign w:val="bottom"/>
            <w:tcBorders>
              <w:bottom w:val="single" w:sz="8" w:color="1E1E1E"/>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Sales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720" w:type="dxa"/>
            <w:vAlign w:val="bottom"/>
            <w:tcBorders>
              <w:bottom w:val="single" w:sz="8" w:color="1E1E1E"/>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200" w:type="dxa"/>
            <w:vAlign w:val="bottom"/>
          </w:tcPr>
          <w:p>
            <w:pPr>
              <w:spacing w:after="0"/>
              <w:rPr>
                <w:sz w:val="17"/>
                <w:szCs w:val="17"/>
                <w:color w:val="auto"/>
              </w:rPr>
            </w:pPr>
          </w:p>
        </w:tc>
        <w:tc>
          <w:tcPr>
            <w:tcW w:w="860" w:type="dxa"/>
            <w:vAlign w:val="bottom"/>
            <w:tcBorders>
              <w:bottom w:val="single" w:sz="8" w:color="1E1E1E"/>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1E1E1E"/>
              </w:rPr>
              <w:t>(dollars in millions)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sales by segment:</w:t>
            </w: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80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80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7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6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RUCKUS </w:t>
            </w:r>
            <w:r>
              <w:rPr>
                <w:rFonts w:ascii="Times New Roman" w:cs="Times New Roman" w:eastAsia="Times New Roman" w:hAnsi="Times New Roman"/>
                <w:sz w:val="26"/>
                <w:szCs w:val="26"/>
                <w:color w:val="1E1E1E"/>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698.9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36.2</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5"/>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546.3</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39.5</w:t>
            </w:r>
          </w:p>
        </w:tc>
        <w:tc>
          <w:tcPr>
            <w:tcW w:w="80" w:type="dxa"/>
            <w:vAlign w:val="bottom"/>
          </w:tcPr>
          <w:p>
            <w:pPr>
              <w:spacing w:after="0"/>
              <w:rPr>
                <w:sz w:val="21"/>
                <w:szCs w:val="21"/>
                <w:color w:val="auto"/>
              </w:rPr>
            </w:pP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152.6</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27.9</w:t>
            </w:r>
          </w:p>
        </w:tc>
        <w:tc>
          <w:tcPr>
            <w:tcW w:w="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370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Aurora</w:t>
            </w: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1,232.7</w:t>
            </w:r>
          </w:p>
        </w:tc>
        <w:tc>
          <w:tcPr>
            <w:tcW w:w="2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63.8</w:t>
            </w:r>
          </w:p>
        </w:tc>
        <w:tc>
          <w:tcPr>
            <w:tcW w:w="3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835.8</w:t>
            </w:r>
          </w:p>
        </w:tc>
        <w:tc>
          <w:tcPr>
            <w:tcW w:w="20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60.5</w:t>
            </w:r>
          </w:p>
        </w:tc>
        <w:tc>
          <w:tcPr>
            <w:tcW w:w="8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396.9</w:t>
            </w:r>
          </w:p>
        </w:tc>
        <w:tc>
          <w:tcPr>
            <w:tcW w:w="200" w:type="dxa"/>
            <w:vAlign w:val="bottom"/>
            <w:shd w:val="clear" w:color="auto" w:fill="E1E1E1"/>
          </w:tcPr>
          <w:p>
            <w:pPr>
              <w:spacing w:after="0"/>
              <w:rPr>
                <w:sz w:val="21"/>
                <w:szCs w:val="21"/>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47.5</w:t>
            </w:r>
          </w:p>
        </w:tc>
        <w:tc>
          <w:tcPr>
            <w:tcW w:w="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Corporate and other </w:t>
            </w:r>
            <w:r>
              <w:rPr>
                <w:rFonts w:ascii="Times New Roman" w:cs="Times New Roman" w:eastAsia="Times New Roman" w:hAnsi="Times New Roman"/>
                <w:sz w:val="26"/>
                <w:szCs w:val="26"/>
                <w:color w:val="1E1E1E"/>
                <w:vertAlign w:val="superscript"/>
              </w:rPr>
              <w:t>(2)</w:t>
            </w:r>
          </w:p>
        </w:tc>
        <w:tc>
          <w:tcPr>
            <w:tcW w:w="140" w:type="dxa"/>
            <w:vAlign w:val="bottom"/>
          </w:tcPr>
          <w:p>
            <w:pPr>
              <w:spacing w:after="0"/>
              <w:rPr>
                <w:sz w:val="21"/>
                <w:szCs w:val="21"/>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0.5</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(0.5)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(100.0)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Consolidated net sales</w:t>
            </w:r>
          </w:p>
        </w:tc>
        <w:tc>
          <w:tcPr>
            <w:tcW w:w="1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1E1E1"/>
              </w:rPr>
              <w:t>$</w:t>
            </w:r>
          </w:p>
        </w:tc>
        <w:tc>
          <w:tcPr>
            <w:tcW w:w="7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1,931.6</w:t>
            </w:r>
          </w:p>
        </w:tc>
        <w:tc>
          <w:tcPr>
            <w:tcW w:w="220" w:type="dxa"/>
            <w:vAlign w:val="bottom"/>
            <w:tcBorders>
              <w:top w:val="single" w:sz="8" w:color="E1E1E1"/>
            </w:tcBorders>
            <w:shd w:val="clear" w:color="auto" w:fill="E1E1E1"/>
          </w:tcPr>
          <w:p>
            <w:pPr>
              <w:spacing w:after="0"/>
              <w:rPr>
                <w:sz w:val="20"/>
                <w:szCs w:val="20"/>
                <w:color w:val="auto"/>
              </w:rPr>
            </w:pPr>
          </w:p>
        </w:tc>
        <w:tc>
          <w:tcPr>
            <w:tcW w:w="80" w:type="dxa"/>
            <w:vAlign w:val="bottom"/>
            <w:tcBorders>
              <w:top w:val="single" w:sz="8" w:color="E1E1E1"/>
            </w:tcBorders>
            <w:shd w:val="clear" w:color="auto" w:fill="E1E1E1"/>
          </w:tcPr>
          <w:p>
            <w:pPr>
              <w:spacing w:after="0"/>
              <w:rPr>
                <w:sz w:val="20"/>
                <w:szCs w:val="20"/>
                <w:color w:val="auto"/>
              </w:rPr>
            </w:pPr>
          </w:p>
        </w:tc>
        <w:tc>
          <w:tcPr>
            <w:tcW w:w="800" w:type="dxa"/>
            <w:vAlign w:val="bottom"/>
            <w:tcBorders>
              <w:top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100.0</w:t>
            </w:r>
          </w:p>
        </w:tc>
        <w:tc>
          <w:tcPr>
            <w:tcW w:w="340" w:type="dxa"/>
            <w:vAlign w:val="bottom"/>
            <w:tcBorders>
              <w:top w:val="single" w:sz="8" w:color="E1E1E1"/>
            </w:tcBorders>
            <w:shd w:val="clear" w:color="auto" w:fill="E1E1E1"/>
          </w:tcPr>
          <w:p>
            <w:pPr>
              <w:jc w:val="center"/>
              <w:spacing w:after="0"/>
              <w:rPr>
                <w:sz w:val="20"/>
                <w:szCs w:val="20"/>
                <w:color w:val="auto"/>
              </w:rPr>
            </w:pPr>
            <w:r>
              <w:rPr>
                <w:rFonts w:ascii="Times New Roman" w:cs="Times New Roman" w:eastAsia="Times New Roman" w:hAnsi="Times New Roman"/>
                <w:sz w:val="20"/>
                <w:szCs w:val="20"/>
                <w:color w:val="1E1E1E"/>
                <w:w w:val="95"/>
              </w:rPr>
              <w:t>%</w:t>
            </w:r>
          </w:p>
        </w:tc>
        <w:tc>
          <w:tcPr>
            <w:tcW w:w="80" w:type="dxa"/>
            <w:vAlign w:val="bottom"/>
            <w:tcBorders>
              <w:top w:val="single" w:sz="8" w:color="E1E1E1"/>
            </w:tcBorders>
            <w:shd w:val="clear" w:color="auto" w:fill="E1E1E1"/>
          </w:tcPr>
          <w:p>
            <w:pPr>
              <w:spacing w:after="0"/>
              <w:rPr>
                <w:sz w:val="20"/>
                <w:szCs w:val="20"/>
                <w:color w:val="auto"/>
              </w:rPr>
            </w:pPr>
          </w:p>
        </w:tc>
        <w:tc>
          <w:tcPr>
            <w:tcW w:w="1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1E1E1"/>
              </w:rPr>
              <w:t>$</w:t>
            </w:r>
          </w:p>
        </w:tc>
        <w:tc>
          <w:tcPr>
            <w:tcW w:w="7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1,382.</w:t>
            </w:r>
            <w:r>
              <w:rPr>
                <w:rFonts w:ascii="Times New Roman" w:cs="Times New Roman" w:eastAsia="Times New Roman" w:hAnsi="Times New Roman"/>
                <w:sz w:val="20"/>
                <w:szCs w:val="20"/>
                <w:u w:val="single" w:color="auto"/>
                <w:color w:val="1E1E1E"/>
                <w:shd w:val="clear" w:color="auto" w:fill="E1E1E1"/>
              </w:rPr>
              <w:t>6</w:t>
            </w:r>
          </w:p>
        </w:tc>
        <w:tc>
          <w:tcPr>
            <w:tcW w:w="200" w:type="dxa"/>
            <w:vAlign w:val="bottom"/>
            <w:tcBorders>
              <w:top w:val="single" w:sz="8" w:color="E1E1E1"/>
            </w:tcBorders>
            <w:shd w:val="clear" w:color="auto" w:fill="E1E1E1"/>
          </w:tcPr>
          <w:p>
            <w:pPr>
              <w:spacing w:after="0"/>
              <w:rPr>
                <w:sz w:val="20"/>
                <w:szCs w:val="20"/>
                <w:color w:val="auto"/>
              </w:rPr>
            </w:pPr>
          </w:p>
        </w:tc>
        <w:tc>
          <w:tcPr>
            <w:tcW w:w="60" w:type="dxa"/>
            <w:vAlign w:val="bottom"/>
            <w:tcBorders>
              <w:top w:val="single" w:sz="8" w:color="E1E1E1"/>
            </w:tcBorders>
            <w:shd w:val="clear" w:color="auto" w:fill="E1E1E1"/>
          </w:tcPr>
          <w:p>
            <w:pPr>
              <w:spacing w:after="0"/>
              <w:rPr>
                <w:sz w:val="20"/>
                <w:szCs w:val="20"/>
                <w:color w:val="auto"/>
              </w:rPr>
            </w:pPr>
          </w:p>
        </w:tc>
        <w:tc>
          <w:tcPr>
            <w:tcW w:w="800" w:type="dxa"/>
            <w:vAlign w:val="bottom"/>
            <w:tcBorders>
              <w:top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100.0</w:t>
            </w:r>
          </w:p>
        </w:tc>
        <w:tc>
          <w:tcPr>
            <w:tcW w:w="80" w:type="dxa"/>
            <w:vAlign w:val="bottom"/>
            <w:tcBorders>
              <w:top w:val="single" w:sz="8" w:color="E1E1E1"/>
            </w:tcBorders>
            <w:shd w:val="clear" w:color="auto" w:fill="E1E1E1"/>
          </w:tcPr>
          <w:p>
            <w:pPr>
              <w:spacing w:after="0"/>
              <w:rPr>
                <w:sz w:val="20"/>
                <w:szCs w:val="20"/>
                <w:color w:val="auto"/>
              </w:rPr>
            </w:pPr>
          </w:p>
        </w:tc>
        <w:tc>
          <w:tcPr>
            <w:tcW w:w="340" w:type="dxa"/>
            <w:vAlign w:val="bottom"/>
            <w:tcBorders>
              <w:top w:val="single" w:sz="8" w:color="E1E1E1"/>
            </w:tcBorders>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1E1E1"/>
              </w:rPr>
              <w:t>$</w:t>
            </w:r>
          </w:p>
        </w:tc>
        <w:tc>
          <w:tcPr>
            <w:tcW w:w="72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549.0</w:t>
            </w:r>
          </w:p>
        </w:tc>
        <w:tc>
          <w:tcPr>
            <w:tcW w:w="200" w:type="dxa"/>
            <w:vAlign w:val="bottom"/>
            <w:tcBorders>
              <w:top w:val="single" w:sz="8" w:color="E1E1E1"/>
            </w:tcBorders>
            <w:shd w:val="clear" w:color="auto" w:fill="E1E1E1"/>
          </w:tcPr>
          <w:p>
            <w:pPr>
              <w:spacing w:after="0"/>
              <w:rPr>
                <w:sz w:val="20"/>
                <w:szCs w:val="20"/>
                <w:color w:val="auto"/>
              </w:rPr>
            </w:pPr>
          </w:p>
        </w:tc>
        <w:tc>
          <w:tcPr>
            <w:tcW w:w="860" w:type="dxa"/>
            <w:vAlign w:val="bottom"/>
            <w:tcBorders>
              <w:top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39.7</w:t>
            </w:r>
          </w:p>
        </w:tc>
        <w:tc>
          <w:tcPr>
            <w:tcW w:w="80" w:type="dxa"/>
            <w:vAlign w:val="bottom"/>
            <w:tcBorders>
              <w:top w:val="single" w:sz="8" w:color="E1E1E1"/>
            </w:tcBorders>
            <w:shd w:val="clear" w:color="auto" w:fill="E1E1E1"/>
          </w:tcPr>
          <w:p>
            <w:pPr>
              <w:spacing w:after="0"/>
              <w:rPr>
                <w:sz w:val="20"/>
                <w:szCs w:val="20"/>
                <w:color w:val="auto"/>
              </w:rPr>
            </w:pPr>
          </w:p>
        </w:tc>
        <w:tc>
          <w:tcPr>
            <w:tcW w:w="280" w:type="dxa"/>
            <w:vAlign w:val="bottom"/>
            <w:tcBorders>
              <w:top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income (loss) by segment:</w:t>
            </w: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80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80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7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6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RUCKUS </w:t>
            </w:r>
            <w:r>
              <w:rPr>
                <w:rFonts w:ascii="Times New Roman" w:cs="Times New Roman" w:eastAsia="Times New Roman" w:hAnsi="Times New Roman"/>
                <w:sz w:val="26"/>
                <w:szCs w:val="26"/>
                <w:color w:val="1E1E1E"/>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3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5"/>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(44.8)</w:t>
            </w:r>
          </w:p>
        </w:tc>
        <w:tc>
          <w:tcPr>
            <w:tcW w:w="6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1E1E1E"/>
              </w:rPr>
              <w:t>(8.2)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87.8</w:t>
            </w: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NM</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370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Aurora</w:t>
            </w:r>
          </w:p>
        </w:tc>
        <w:tc>
          <w:tcPr>
            <w:tcW w:w="14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123.7</w:t>
            </w:r>
          </w:p>
        </w:tc>
        <w:tc>
          <w:tcPr>
            <w:tcW w:w="2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3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rPr>
              <w:t>(80.8)</w:t>
            </w:r>
          </w:p>
        </w:tc>
        <w:tc>
          <w:tcPr>
            <w:tcW w:w="60" w:type="dxa"/>
            <w:vAlign w:val="bottom"/>
            <w:shd w:val="clear" w:color="auto" w:fill="E1E1E1"/>
          </w:tcPr>
          <w:p>
            <w:pPr>
              <w:spacing w:after="0"/>
              <w:rPr>
                <w:sz w:val="21"/>
                <w:szCs w:val="21"/>
                <w:color w:val="auto"/>
              </w:rPr>
            </w:pPr>
          </w:p>
        </w:tc>
        <w:tc>
          <w:tcPr>
            <w:tcW w:w="8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(9.7)</w:t>
            </w:r>
          </w:p>
        </w:tc>
        <w:tc>
          <w:tcPr>
            <w:tcW w:w="3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204.5</w:t>
            </w:r>
          </w:p>
        </w:tc>
        <w:tc>
          <w:tcPr>
            <w:tcW w:w="200" w:type="dxa"/>
            <w:vAlign w:val="bottom"/>
            <w:shd w:val="clear" w:color="auto" w:fill="E1E1E1"/>
          </w:tcPr>
          <w:p>
            <w:pPr>
              <w:spacing w:after="0"/>
              <w:rPr>
                <w:sz w:val="21"/>
                <w:szCs w:val="21"/>
                <w:color w:val="auto"/>
              </w:rPr>
            </w:pPr>
          </w:p>
        </w:tc>
        <w:tc>
          <w:tcPr>
            <w:tcW w:w="94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NM</w:t>
            </w:r>
          </w:p>
        </w:tc>
        <w:tc>
          <w:tcPr>
            <w:tcW w:w="2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line="258" w:lineRule="exact"/>
              <w:rPr>
                <w:sz w:val="20"/>
                <w:szCs w:val="20"/>
                <w:color w:val="auto"/>
              </w:rPr>
            </w:pPr>
            <w:r>
              <w:rPr>
                <w:rFonts w:ascii="Times New Roman" w:cs="Times New Roman" w:eastAsia="Times New Roman" w:hAnsi="Times New Roman"/>
                <w:sz w:val="20"/>
                <w:szCs w:val="20"/>
                <w:color w:val="1E1E1E"/>
              </w:rPr>
              <w:t xml:space="preserve">Core operating income (loss) </w:t>
            </w:r>
            <w:r>
              <w:rPr>
                <w:rFonts w:ascii="Times New Roman" w:cs="Times New Roman" w:eastAsia="Times New Roman" w:hAnsi="Times New Roman"/>
                <w:sz w:val="26"/>
                <w:szCs w:val="26"/>
                <w:color w:val="1E1E1E"/>
                <w:vertAlign w:val="superscript"/>
              </w:rPr>
              <w:t>(3)</w:t>
            </w:r>
          </w:p>
        </w:tc>
        <w:tc>
          <w:tcPr>
            <w:tcW w:w="140" w:type="dxa"/>
            <w:vAlign w:val="bottom"/>
            <w:shd w:val="clear" w:color="auto" w:fill="1E1E1E"/>
          </w:tcPr>
          <w:p>
            <w:pPr>
              <w:spacing w:after="0" w:line="20" w:lineRule="exact"/>
              <w:rPr>
                <w:sz w:val="1"/>
                <w:szCs w:val="1"/>
                <w:color w:val="auto"/>
              </w:rPr>
            </w:pPr>
          </w:p>
        </w:tc>
        <w:tc>
          <w:tcPr>
            <w:tcW w:w="780" w:type="dxa"/>
            <w:vAlign w:val="bottom"/>
            <w:shd w:val="clear" w:color="auto" w:fill="1E1E1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8.6</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1E1E1E"/>
          </w:tcPr>
          <w:p>
            <w:pPr>
              <w:spacing w:after="0" w:line="20" w:lineRule="exact"/>
              <w:rPr>
                <w:sz w:val="1"/>
                <w:szCs w:val="1"/>
                <w:color w:val="auto"/>
              </w:rPr>
            </w:pPr>
          </w:p>
        </w:tc>
        <w:tc>
          <w:tcPr>
            <w:tcW w:w="7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1E1E1E"/>
              </w:rPr>
              <w:t>(9.1)</w:t>
            </w:r>
          </w:p>
        </w:tc>
        <w:tc>
          <w:tcPr>
            <w:tcW w:w="340" w:type="dxa"/>
            <w:vAlign w:val="bottom"/>
          </w:tcPr>
          <w:p>
            <w:pPr>
              <w:spacing w:after="0" w:line="20" w:lineRule="exact"/>
              <w:rPr>
                <w:sz w:val="1"/>
                <w:szCs w:val="1"/>
                <w:color w:val="auto"/>
              </w:rPr>
            </w:pPr>
          </w:p>
        </w:tc>
        <w:tc>
          <w:tcPr>
            <w:tcW w:w="120" w:type="dxa"/>
            <w:vAlign w:val="bottom"/>
            <w:shd w:val="clear" w:color="auto" w:fill="1E1E1E"/>
          </w:tcPr>
          <w:p>
            <w:pPr>
              <w:spacing w:after="0" w:line="20" w:lineRule="exact"/>
              <w:rPr>
                <w:sz w:val="1"/>
                <w:szCs w:val="1"/>
                <w:color w:val="auto"/>
              </w:rPr>
            </w:pPr>
          </w:p>
        </w:tc>
        <w:tc>
          <w:tcPr>
            <w:tcW w:w="72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1E1E1E"/>
              </w:rPr>
              <w:t>NM</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166.7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(125.6)</w:t>
            </w:r>
          </w:p>
        </w:tc>
        <w:tc>
          <w:tcPr>
            <w:tcW w:w="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292.3</w:t>
            </w:r>
          </w:p>
        </w:tc>
        <w:tc>
          <w:tcPr>
            <w:tcW w:w="2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E1E1E1"/>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Corporate and other </w:t>
            </w:r>
            <w:r>
              <w:rPr>
                <w:rFonts w:ascii="Times New Roman" w:cs="Times New Roman" w:eastAsia="Times New Roman" w:hAnsi="Times New Roman"/>
                <w:sz w:val="26"/>
                <w:szCs w:val="26"/>
                <w:color w:val="1E1E1E"/>
                <w:vertAlign w:val="superscript"/>
              </w:rPr>
              <w:t>(2)</w:t>
            </w:r>
          </w:p>
        </w:tc>
        <w:tc>
          <w:tcPr>
            <w:tcW w:w="14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140"/>
              <w:spacing w:after="0"/>
              <w:rPr>
                <w:sz w:val="20"/>
                <w:szCs w:val="20"/>
                <w:color w:val="auto"/>
              </w:rPr>
            </w:pPr>
            <w:r>
              <w:rPr>
                <w:rFonts w:ascii="Times New Roman" w:cs="Times New Roman" w:eastAsia="Times New Roman" w:hAnsi="Times New Roman"/>
                <w:sz w:val="20"/>
                <w:szCs w:val="20"/>
                <w:color w:val="1E1E1E"/>
              </w:rPr>
              <w:t>(119.1)</w:t>
            </w:r>
          </w:p>
        </w:tc>
        <w:tc>
          <w:tcPr>
            <w:tcW w:w="80" w:type="dxa"/>
            <w:vAlign w:val="bottom"/>
            <w:shd w:val="clear" w:color="auto" w:fill="E1E1E1"/>
          </w:tcPr>
          <w:p>
            <w:pPr>
              <w:spacing w:after="0"/>
              <w:rPr>
                <w:sz w:val="21"/>
                <w:szCs w:val="21"/>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NM</w:t>
            </w:r>
          </w:p>
        </w:tc>
        <w:tc>
          <w:tcPr>
            <w:tcW w:w="3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rPr>
              <w:t>(166.1)</w:t>
            </w:r>
          </w:p>
        </w:tc>
        <w:tc>
          <w:tcPr>
            <w:tcW w:w="60" w:type="dxa"/>
            <w:vAlign w:val="bottom"/>
            <w:shd w:val="clear" w:color="auto" w:fill="E1E1E1"/>
          </w:tcPr>
          <w:p>
            <w:pPr>
              <w:spacing w:after="0"/>
              <w:rPr>
                <w:sz w:val="21"/>
                <w:szCs w:val="21"/>
                <w:color w:val="auto"/>
              </w:rPr>
            </w:pPr>
          </w:p>
        </w:tc>
        <w:tc>
          <w:tcPr>
            <w:tcW w:w="88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NM</w:t>
            </w:r>
          </w:p>
        </w:tc>
        <w:tc>
          <w:tcPr>
            <w:tcW w:w="3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47.0</w:t>
            </w:r>
          </w:p>
        </w:tc>
        <w:tc>
          <w:tcPr>
            <w:tcW w:w="200" w:type="dxa"/>
            <w:vAlign w:val="bottom"/>
            <w:shd w:val="clear" w:color="auto" w:fill="E1E1E1"/>
          </w:tcPr>
          <w:p>
            <w:pPr>
              <w:spacing w:after="0"/>
              <w:rPr>
                <w:sz w:val="21"/>
                <w:szCs w:val="21"/>
                <w:color w:val="auto"/>
              </w:rPr>
            </w:pPr>
          </w:p>
        </w:tc>
        <w:tc>
          <w:tcPr>
            <w:tcW w:w="9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(28.3)</w:t>
            </w:r>
          </w:p>
        </w:tc>
        <w:tc>
          <w:tcPr>
            <w:tcW w:w="2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70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Consolidated operating income (loss)</w:t>
            </w:r>
          </w:p>
        </w:tc>
        <w:tc>
          <w:tcPr>
            <w:tcW w:w="1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47.6</w:t>
            </w:r>
          </w:p>
        </w:tc>
        <w:tc>
          <w:tcPr>
            <w:tcW w:w="220" w:type="dxa"/>
            <w:vAlign w:val="bottom"/>
            <w:tcBorders>
              <w:bottom w:val="single" w:sz="8" w:color="E1E1E1"/>
            </w:tcBorders>
          </w:tcPr>
          <w:p>
            <w:pPr>
              <w:spacing w:after="0"/>
              <w:rPr>
                <w:sz w:val="24"/>
                <w:szCs w:val="24"/>
                <w:color w:val="auto"/>
              </w:rPr>
            </w:pPr>
          </w:p>
        </w:tc>
        <w:tc>
          <w:tcPr>
            <w:tcW w:w="80" w:type="dxa"/>
            <w:vAlign w:val="bottom"/>
            <w:tcBorders>
              <w:bottom w:val="single" w:sz="8" w:color="E1E1E1"/>
            </w:tcBorders>
          </w:tcPr>
          <w:p>
            <w:pPr>
              <w:spacing w:after="0"/>
              <w:rPr>
                <w:sz w:val="24"/>
                <w:szCs w:val="24"/>
                <w:color w:val="auto"/>
              </w:rPr>
            </w:pPr>
          </w:p>
        </w:tc>
        <w:tc>
          <w:tcPr>
            <w:tcW w:w="800" w:type="dxa"/>
            <w:vAlign w:val="bottom"/>
            <w:tcBorders>
              <w:bottom w:val="single" w:sz="8" w:color="E1E1E1"/>
            </w:tcBorders>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340" w:type="dxa"/>
            <w:vAlign w:val="bottom"/>
            <w:tcBorders>
              <w:bottom w:val="single" w:sz="8" w:color="E1E1E1"/>
            </w:tcBorders>
          </w:tcPr>
          <w:p>
            <w:pPr>
              <w:jc w:val="center"/>
              <w:spacing w:after="0"/>
              <w:rPr>
                <w:sz w:val="20"/>
                <w:szCs w:val="20"/>
                <w:color w:val="auto"/>
              </w:rPr>
            </w:pPr>
            <w:r>
              <w:rPr>
                <w:rFonts w:ascii="Times New Roman" w:cs="Times New Roman" w:eastAsia="Times New Roman" w:hAnsi="Times New Roman"/>
                <w:sz w:val="20"/>
                <w:szCs w:val="20"/>
                <w:color w:val="1E1E1E"/>
                <w:w w:val="95"/>
              </w:rPr>
              <w:t>%</w:t>
            </w:r>
          </w:p>
        </w:tc>
        <w:tc>
          <w:tcPr>
            <w:tcW w:w="80" w:type="dxa"/>
            <w:vAlign w:val="bottom"/>
            <w:tcBorders>
              <w:bottom w:val="single" w:sz="8" w:color="E1E1E1"/>
            </w:tcBorders>
          </w:tcPr>
          <w:p>
            <w:pPr>
              <w:spacing w:after="0"/>
              <w:rPr>
                <w:sz w:val="24"/>
                <w:szCs w:val="24"/>
                <w:color w:val="auto"/>
              </w:rPr>
            </w:pPr>
          </w:p>
        </w:tc>
        <w:tc>
          <w:tcPr>
            <w:tcW w:w="1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(291.7</w:t>
            </w:r>
          </w:p>
        </w:tc>
        <w:tc>
          <w:tcPr>
            <w:tcW w:w="200" w:type="dxa"/>
            <w:vAlign w:val="bottom"/>
            <w:tcBorders>
              <w:bottom w:val="single" w:sz="8" w:color="E1E1E1"/>
            </w:tcBorders>
          </w:tcPr>
          <w:p>
            <w:pPr>
              <w:jc w:val="right"/>
              <w:ind w:right="60"/>
              <w:spacing w:after="0"/>
              <w:rPr>
                <w:sz w:val="20"/>
                <w:szCs w:val="20"/>
                <w:color w:val="auto"/>
              </w:rPr>
            </w:pPr>
            <w:r>
              <w:rPr>
                <w:rFonts w:ascii="Times New Roman" w:cs="Times New Roman" w:eastAsia="Times New Roman" w:hAnsi="Times New Roman"/>
                <w:sz w:val="16"/>
                <w:szCs w:val="16"/>
                <w:color w:val="1E1E1E"/>
                <w:w w:val="74"/>
              </w:rPr>
              <w:t>)</w:t>
            </w:r>
          </w:p>
        </w:tc>
        <w:tc>
          <w:tcPr>
            <w:tcW w:w="60" w:type="dxa"/>
            <w:vAlign w:val="bottom"/>
            <w:tcBorders>
              <w:bottom w:val="single" w:sz="8" w:color="E1E1E1"/>
            </w:tcBorders>
          </w:tcPr>
          <w:p>
            <w:pPr>
              <w:spacing w:after="0"/>
              <w:rPr>
                <w:sz w:val="24"/>
                <w:szCs w:val="24"/>
                <w:color w:val="auto"/>
              </w:rPr>
            </w:pPr>
          </w:p>
        </w:tc>
        <w:tc>
          <w:tcPr>
            <w:tcW w:w="1220" w:type="dxa"/>
            <w:vAlign w:val="bottom"/>
            <w:tcBorders>
              <w:bottom w:val="single" w:sz="8" w:color="E1E1E1"/>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1E1E1E"/>
              </w:rPr>
              <w:t>(21.1) %</w:t>
            </w:r>
          </w:p>
        </w:tc>
        <w:tc>
          <w:tcPr>
            <w:tcW w:w="1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339.3</w:t>
            </w:r>
          </w:p>
        </w:tc>
        <w:tc>
          <w:tcPr>
            <w:tcW w:w="200" w:type="dxa"/>
            <w:vAlign w:val="bottom"/>
            <w:tcBorders>
              <w:bottom w:val="single" w:sz="8" w:color="E1E1E1"/>
            </w:tcBorders>
          </w:tcPr>
          <w:p>
            <w:pPr>
              <w:spacing w:after="0"/>
              <w:rPr>
                <w:sz w:val="24"/>
                <w:szCs w:val="24"/>
                <w:color w:val="auto"/>
              </w:rPr>
            </w:pPr>
          </w:p>
        </w:tc>
        <w:tc>
          <w:tcPr>
            <w:tcW w:w="940" w:type="dxa"/>
            <w:vAlign w:val="bottom"/>
            <w:tcBorders>
              <w:bottom w:val="single" w:sz="8" w:color="E1E1E1"/>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NM</w:t>
            </w:r>
          </w:p>
        </w:tc>
        <w:tc>
          <w:tcPr>
            <w:tcW w:w="280" w:type="dxa"/>
            <w:vAlign w:val="bottom"/>
            <w:tcBorders>
              <w:bottom w:val="single" w:sz="8" w:color="E1E1E1"/>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E1E1E1"/>
          </w:tcPr>
          <w:p>
            <w:pPr>
              <w:spacing w:after="0"/>
              <w:rPr>
                <w:sz w:val="19"/>
                <w:szCs w:val="19"/>
                <w:color w:val="auto"/>
              </w:rPr>
            </w:pPr>
          </w:p>
        </w:tc>
        <w:tc>
          <w:tcPr>
            <w:tcW w:w="140" w:type="dxa"/>
            <w:vAlign w:val="bottom"/>
            <w:shd w:val="clear" w:color="auto" w:fill="E1E1E1"/>
          </w:tcPr>
          <w:p>
            <w:pPr>
              <w:spacing w:after="0"/>
              <w:rPr>
                <w:sz w:val="19"/>
                <w:szCs w:val="19"/>
                <w:color w:val="auto"/>
              </w:rPr>
            </w:pPr>
          </w:p>
        </w:tc>
        <w:tc>
          <w:tcPr>
            <w:tcW w:w="780" w:type="dxa"/>
            <w:vAlign w:val="bottom"/>
            <w:shd w:val="clear" w:color="auto" w:fill="E1E1E1"/>
          </w:tcPr>
          <w:p>
            <w:pPr>
              <w:spacing w:after="0"/>
              <w:rPr>
                <w:sz w:val="19"/>
                <w:szCs w:val="19"/>
                <w:color w:val="auto"/>
              </w:rPr>
            </w:pPr>
          </w:p>
        </w:tc>
        <w:tc>
          <w:tcPr>
            <w:tcW w:w="22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800" w:type="dxa"/>
            <w:vAlign w:val="bottom"/>
            <w:shd w:val="clear" w:color="auto" w:fill="E1E1E1"/>
          </w:tcPr>
          <w:p>
            <w:pPr>
              <w:spacing w:after="0"/>
              <w:rPr>
                <w:sz w:val="19"/>
                <w:szCs w:val="19"/>
                <w:color w:val="auto"/>
              </w:rPr>
            </w:pPr>
          </w:p>
        </w:tc>
        <w:tc>
          <w:tcPr>
            <w:tcW w:w="3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140" w:type="dxa"/>
            <w:vAlign w:val="bottom"/>
            <w:shd w:val="clear" w:color="auto" w:fill="E1E1E1"/>
          </w:tcPr>
          <w:p>
            <w:pPr>
              <w:spacing w:after="0"/>
              <w:rPr>
                <w:sz w:val="19"/>
                <w:szCs w:val="19"/>
                <w:color w:val="auto"/>
              </w:rPr>
            </w:pPr>
          </w:p>
        </w:tc>
        <w:tc>
          <w:tcPr>
            <w:tcW w:w="780" w:type="dxa"/>
            <w:vAlign w:val="bottom"/>
            <w:shd w:val="clear" w:color="auto" w:fill="E1E1E1"/>
          </w:tcPr>
          <w:p>
            <w:pPr>
              <w:spacing w:after="0"/>
              <w:rPr>
                <w:sz w:val="19"/>
                <w:szCs w:val="19"/>
                <w:color w:val="auto"/>
              </w:rPr>
            </w:pPr>
          </w:p>
        </w:tc>
        <w:tc>
          <w:tcPr>
            <w:tcW w:w="200" w:type="dxa"/>
            <w:vAlign w:val="bottom"/>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80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340" w:type="dxa"/>
            <w:vAlign w:val="bottom"/>
            <w:shd w:val="clear" w:color="auto" w:fill="E1E1E1"/>
          </w:tcPr>
          <w:p>
            <w:pPr>
              <w:spacing w:after="0"/>
              <w:rPr>
                <w:sz w:val="19"/>
                <w:szCs w:val="19"/>
                <w:color w:val="auto"/>
              </w:rPr>
            </w:pPr>
          </w:p>
        </w:tc>
        <w:tc>
          <w:tcPr>
            <w:tcW w:w="120" w:type="dxa"/>
            <w:vAlign w:val="bottom"/>
            <w:shd w:val="clear" w:color="auto" w:fill="E1E1E1"/>
          </w:tcPr>
          <w:p>
            <w:pPr>
              <w:spacing w:after="0"/>
              <w:rPr>
                <w:sz w:val="19"/>
                <w:szCs w:val="19"/>
                <w:color w:val="auto"/>
              </w:rPr>
            </w:pPr>
          </w:p>
        </w:tc>
        <w:tc>
          <w:tcPr>
            <w:tcW w:w="720" w:type="dxa"/>
            <w:vAlign w:val="bottom"/>
            <w:shd w:val="clear" w:color="auto" w:fill="E1E1E1"/>
          </w:tcPr>
          <w:p>
            <w:pPr>
              <w:spacing w:after="0"/>
              <w:rPr>
                <w:sz w:val="19"/>
                <w:szCs w:val="19"/>
                <w:color w:val="auto"/>
              </w:rPr>
            </w:pPr>
          </w:p>
        </w:tc>
        <w:tc>
          <w:tcPr>
            <w:tcW w:w="200" w:type="dxa"/>
            <w:vAlign w:val="bottom"/>
            <w:shd w:val="clear" w:color="auto" w:fill="E1E1E1"/>
          </w:tcPr>
          <w:p>
            <w:pPr>
              <w:spacing w:after="0"/>
              <w:rPr>
                <w:sz w:val="19"/>
                <w:szCs w:val="19"/>
                <w:color w:val="auto"/>
              </w:rPr>
            </w:pPr>
          </w:p>
        </w:tc>
        <w:tc>
          <w:tcPr>
            <w:tcW w:w="86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2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1E1E1E"/>
              </w:rPr>
              <w:t>Adjusted EBITDA by segment:</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E1E1E1"/>
          </w:tcPr>
          <w:p>
            <w:pPr>
              <w:ind w:left="200"/>
              <w:spacing w:after="0" w:line="243" w:lineRule="exact"/>
              <w:rPr>
                <w:sz w:val="20"/>
                <w:szCs w:val="20"/>
                <w:color w:val="auto"/>
              </w:rPr>
            </w:pPr>
            <w:r>
              <w:rPr>
                <w:rFonts w:ascii="Times New Roman" w:cs="Times New Roman" w:eastAsia="Times New Roman" w:hAnsi="Times New Roman"/>
                <w:sz w:val="28"/>
                <w:szCs w:val="28"/>
                <w:color w:val="1E1E1E"/>
                <w:vertAlign w:val="subscript"/>
              </w:rPr>
              <w:t>RUCKUS</w:t>
            </w:r>
            <w:r>
              <w:rPr>
                <w:rFonts w:ascii="Times New Roman" w:cs="Times New Roman" w:eastAsia="Times New Roman" w:hAnsi="Times New Roman"/>
                <w:sz w:val="11"/>
                <w:szCs w:val="11"/>
                <w:color w:val="1E1E1E"/>
              </w:rPr>
              <w:t xml:space="preserve"> (1) (4)</w:t>
            </w:r>
          </w:p>
        </w:tc>
        <w:tc>
          <w:tcPr>
            <w:tcW w:w="1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127.5</w:t>
            </w:r>
          </w:p>
        </w:tc>
        <w:tc>
          <w:tcPr>
            <w:tcW w:w="2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18.2</w:t>
            </w:r>
          </w:p>
        </w:tc>
        <w:tc>
          <w:tcPr>
            <w:tcW w:w="340" w:type="dxa"/>
            <w:vAlign w:val="bottom"/>
            <w:shd w:val="clear" w:color="auto" w:fill="E1E1E1"/>
          </w:tcPr>
          <w:p>
            <w:pPr>
              <w:jc w:val="center"/>
              <w:spacing w:after="0"/>
              <w:rPr>
                <w:sz w:val="20"/>
                <w:szCs w:val="20"/>
                <w:color w:val="auto"/>
              </w:rPr>
            </w:pPr>
            <w:r>
              <w:rPr>
                <w:rFonts w:ascii="Times New Roman" w:cs="Times New Roman" w:eastAsia="Times New Roman" w:hAnsi="Times New Roman"/>
                <w:sz w:val="20"/>
                <w:szCs w:val="20"/>
                <w:color w:val="1E1E1E"/>
                <w:w w:val="95"/>
              </w:rPr>
              <w:t>%</w:t>
            </w:r>
          </w:p>
        </w:tc>
        <w:tc>
          <w:tcPr>
            <w:tcW w:w="2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31.4</w:t>
            </w:r>
          </w:p>
        </w:tc>
        <w:tc>
          <w:tcPr>
            <w:tcW w:w="20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80" w:type="dxa"/>
            <w:vAlign w:val="bottom"/>
            <w:shd w:val="clear" w:color="auto" w:fill="E1E1E1"/>
          </w:tcPr>
          <w:p>
            <w:pPr>
              <w:spacing w:after="0"/>
              <w:rPr>
                <w:sz w:val="21"/>
                <w:szCs w:val="21"/>
                <w:color w:val="auto"/>
              </w:rPr>
            </w:pPr>
          </w:p>
        </w:tc>
        <w:tc>
          <w:tcPr>
            <w:tcW w:w="3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96.1</w:t>
            </w:r>
          </w:p>
        </w:tc>
        <w:tc>
          <w:tcPr>
            <w:tcW w:w="200" w:type="dxa"/>
            <w:vAlign w:val="bottom"/>
            <w:shd w:val="clear" w:color="auto" w:fill="E1E1E1"/>
          </w:tcPr>
          <w:p>
            <w:pPr>
              <w:spacing w:after="0"/>
              <w:rPr>
                <w:sz w:val="21"/>
                <w:szCs w:val="21"/>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306.1</w:t>
            </w:r>
          </w:p>
        </w:tc>
        <w:tc>
          <w:tcPr>
            <w:tcW w:w="80" w:type="dxa"/>
            <w:vAlign w:val="bottom"/>
            <w:shd w:val="clear" w:color="auto" w:fill="E1E1E1"/>
          </w:tcPr>
          <w:p>
            <w:pPr>
              <w:spacing w:after="0"/>
              <w:rPr>
                <w:sz w:val="21"/>
                <w:szCs w:val="21"/>
                <w:color w:val="auto"/>
              </w:rPr>
            </w:pPr>
          </w:p>
        </w:tc>
        <w:tc>
          <w:tcPr>
            <w:tcW w:w="2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3700" w:type="dxa"/>
            <w:vAlign w:val="bottom"/>
            <w:tcBorders>
              <w:bottom w:val="single" w:sz="8" w:color="E1E1E1"/>
            </w:tcBorders>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Aurora </w:t>
            </w:r>
            <w:r>
              <w:rPr>
                <w:rFonts w:ascii="Times New Roman" w:cs="Times New Roman" w:eastAsia="Times New Roman" w:hAnsi="Times New Roman"/>
                <w:sz w:val="26"/>
                <w:szCs w:val="26"/>
                <w:color w:val="1E1E1E"/>
                <w:vertAlign w:val="superscript"/>
              </w:rPr>
              <w:t>(4)</w:t>
            </w:r>
          </w:p>
        </w:tc>
        <w:tc>
          <w:tcPr>
            <w:tcW w:w="140" w:type="dxa"/>
            <w:vAlign w:val="bottom"/>
            <w:tcBorders>
              <w:bottom w:val="single" w:sz="8" w:color="1E1E1E"/>
            </w:tcBorders>
          </w:tcPr>
          <w:p>
            <w:pPr>
              <w:spacing w:after="0"/>
              <w:rPr>
                <w:sz w:val="21"/>
                <w:szCs w:val="21"/>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251.9</w:t>
            </w:r>
          </w:p>
        </w:tc>
        <w:tc>
          <w:tcPr>
            <w:tcW w:w="220" w:type="dxa"/>
            <w:vAlign w:val="bottom"/>
            <w:tcBorders>
              <w:bottom w:val="single" w:sz="8" w:color="E1E1E1"/>
            </w:tcBorders>
          </w:tcPr>
          <w:p>
            <w:pPr>
              <w:spacing w:after="0"/>
              <w:rPr>
                <w:sz w:val="21"/>
                <w:szCs w:val="21"/>
                <w:color w:val="auto"/>
              </w:rPr>
            </w:pPr>
          </w:p>
        </w:tc>
        <w:tc>
          <w:tcPr>
            <w:tcW w:w="80" w:type="dxa"/>
            <w:vAlign w:val="bottom"/>
            <w:tcBorders>
              <w:bottom w:val="single" w:sz="8" w:color="E1E1E1"/>
            </w:tcBorders>
          </w:tcPr>
          <w:p>
            <w:pPr>
              <w:spacing w:after="0"/>
              <w:rPr>
                <w:sz w:val="21"/>
                <w:szCs w:val="21"/>
                <w:color w:val="auto"/>
              </w:rPr>
            </w:pPr>
          </w:p>
        </w:tc>
        <w:tc>
          <w:tcPr>
            <w:tcW w:w="800" w:type="dxa"/>
            <w:vAlign w:val="bottom"/>
            <w:tcBorders>
              <w:bottom w:val="single" w:sz="8" w:color="E1E1E1"/>
            </w:tcBorders>
          </w:tcPr>
          <w:p>
            <w:pPr>
              <w:jc w:val="right"/>
              <w:spacing w:after="0"/>
              <w:rPr>
                <w:sz w:val="20"/>
                <w:szCs w:val="20"/>
                <w:color w:val="auto"/>
              </w:rPr>
            </w:pPr>
            <w:r>
              <w:rPr>
                <w:rFonts w:ascii="Times New Roman" w:cs="Times New Roman" w:eastAsia="Times New Roman" w:hAnsi="Times New Roman"/>
                <w:sz w:val="20"/>
                <w:szCs w:val="20"/>
                <w:color w:val="1E1E1E"/>
              </w:rPr>
              <w:t>20.4</w:t>
            </w:r>
          </w:p>
        </w:tc>
        <w:tc>
          <w:tcPr>
            <w:tcW w:w="340" w:type="dxa"/>
            <w:vAlign w:val="bottom"/>
            <w:tcBorders>
              <w:bottom w:val="single" w:sz="8" w:color="E1E1E1"/>
            </w:tcBorders>
          </w:tcPr>
          <w:p>
            <w:pPr>
              <w:spacing w:after="0"/>
              <w:rPr>
                <w:sz w:val="21"/>
                <w:szCs w:val="21"/>
                <w:color w:val="auto"/>
              </w:rPr>
            </w:pPr>
          </w:p>
        </w:tc>
        <w:tc>
          <w:tcPr>
            <w:tcW w:w="80" w:type="dxa"/>
            <w:vAlign w:val="bottom"/>
            <w:tcBorders>
              <w:bottom w:val="single" w:sz="8" w:color="E1E1E1"/>
            </w:tcBorders>
          </w:tcPr>
          <w:p>
            <w:pPr>
              <w:spacing w:after="0"/>
              <w:rPr>
                <w:sz w:val="21"/>
                <w:szCs w:val="21"/>
                <w:color w:val="auto"/>
              </w:rPr>
            </w:pPr>
          </w:p>
        </w:tc>
        <w:tc>
          <w:tcPr>
            <w:tcW w:w="140" w:type="dxa"/>
            <w:vAlign w:val="bottom"/>
            <w:tcBorders>
              <w:bottom w:val="single" w:sz="8" w:color="1E1E1E"/>
            </w:tcBorders>
          </w:tcPr>
          <w:p>
            <w:pPr>
              <w:spacing w:after="0"/>
              <w:rPr>
                <w:sz w:val="21"/>
                <w:szCs w:val="21"/>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106.0</w:t>
            </w:r>
          </w:p>
        </w:tc>
        <w:tc>
          <w:tcPr>
            <w:tcW w:w="200" w:type="dxa"/>
            <w:vAlign w:val="bottom"/>
            <w:tcBorders>
              <w:bottom w:val="single" w:sz="8" w:color="E1E1E1"/>
            </w:tcBorders>
          </w:tcPr>
          <w:p>
            <w:pPr>
              <w:spacing w:after="0"/>
              <w:rPr>
                <w:sz w:val="21"/>
                <w:szCs w:val="21"/>
                <w:color w:val="auto"/>
              </w:rPr>
            </w:pPr>
          </w:p>
        </w:tc>
        <w:tc>
          <w:tcPr>
            <w:tcW w:w="60" w:type="dxa"/>
            <w:vAlign w:val="bottom"/>
            <w:tcBorders>
              <w:bottom w:val="single" w:sz="8" w:color="E1E1E1"/>
            </w:tcBorders>
          </w:tcPr>
          <w:p>
            <w:pPr>
              <w:spacing w:after="0"/>
              <w:rPr>
                <w:sz w:val="21"/>
                <w:szCs w:val="21"/>
                <w:color w:val="auto"/>
              </w:rPr>
            </w:pPr>
          </w:p>
        </w:tc>
        <w:tc>
          <w:tcPr>
            <w:tcW w:w="800" w:type="dxa"/>
            <w:vAlign w:val="bottom"/>
            <w:tcBorders>
              <w:bottom w:val="single" w:sz="8" w:color="E1E1E1"/>
            </w:tcBorders>
          </w:tcPr>
          <w:p>
            <w:pPr>
              <w:jc w:val="right"/>
              <w:spacing w:after="0"/>
              <w:rPr>
                <w:sz w:val="20"/>
                <w:szCs w:val="20"/>
                <w:color w:val="auto"/>
              </w:rPr>
            </w:pPr>
            <w:r>
              <w:rPr>
                <w:rFonts w:ascii="Times New Roman" w:cs="Times New Roman" w:eastAsia="Times New Roman" w:hAnsi="Times New Roman"/>
                <w:sz w:val="20"/>
                <w:szCs w:val="20"/>
                <w:color w:val="1E1E1E"/>
              </w:rPr>
              <w:t>12.7</w:t>
            </w:r>
          </w:p>
        </w:tc>
        <w:tc>
          <w:tcPr>
            <w:tcW w:w="80" w:type="dxa"/>
            <w:vAlign w:val="bottom"/>
            <w:tcBorders>
              <w:bottom w:val="single" w:sz="8" w:color="E1E1E1"/>
            </w:tcBorders>
          </w:tcPr>
          <w:p>
            <w:pPr>
              <w:spacing w:after="0"/>
              <w:rPr>
                <w:sz w:val="21"/>
                <w:szCs w:val="21"/>
                <w:color w:val="auto"/>
              </w:rPr>
            </w:pPr>
          </w:p>
        </w:tc>
        <w:tc>
          <w:tcPr>
            <w:tcW w:w="340" w:type="dxa"/>
            <w:vAlign w:val="bottom"/>
            <w:tcBorders>
              <w:bottom w:val="single" w:sz="8" w:color="E1E1E1"/>
            </w:tcBorders>
          </w:tcPr>
          <w:p>
            <w:pPr>
              <w:spacing w:after="0"/>
              <w:rPr>
                <w:sz w:val="21"/>
                <w:szCs w:val="21"/>
                <w:color w:val="auto"/>
              </w:rPr>
            </w:pPr>
          </w:p>
        </w:tc>
        <w:tc>
          <w:tcPr>
            <w:tcW w:w="120" w:type="dxa"/>
            <w:vAlign w:val="bottom"/>
            <w:tcBorders>
              <w:bottom w:val="single" w:sz="8" w:color="1E1E1E"/>
            </w:tcBorders>
          </w:tcPr>
          <w:p>
            <w:pPr>
              <w:spacing w:after="0"/>
              <w:rPr>
                <w:sz w:val="21"/>
                <w:szCs w:val="21"/>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145.9</w:t>
            </w:r>
          </w:p>
        </w:tc>
        <w:tc>
          <w:tcPr>
            <w:tcW w:w="200" w:type="dxa"/>
            <w:vAlign w:val="bottom"/>
            <w:tcBorders>
              <w:bottom w:val="single" w:sz="8" w:color="E1E1E1"/>
            </w:tcBorders>
          </w:tcPr>
          <w:p>
            <w:pPr>
              <w:spacing w:after="0"/>
              <w:rPr>
                <w:sz w:val="21"/>
                <w:szCs w:val="21"/>
                <w:color w:val="auto"/>
              </w:rPr>
            </w:pPr>
          </w:p>
        </w:tc>
        <w:tc>
          <w:tcPr>
            <w:tcW w:w="860" w:type="dxa"/>
            <w:vAlign w:val="bottom"/>
            <w:tcBorders>
              <w:bottom w:val="single" w:sz="8" w:color="E1E1E1"/>
            </w:tcBorders>
          </w:tcPr>
          <w:p>
            <w:pPr>
              <w:jc w:val="right"/>
              <w:spacing w:after="0"/>
              <w:rPr>
                <w:sz w:val="20"/>
                <w:szCs w:val="20"/>
                <w:color w:val="auto"/>
              </w:rPr>
            </w:pPr>
            <w:r>
              <w:rPr>
                <w:rFonts w:ascii="Times New Roman" w:cs="Times New Roman" w:eastAsia="Times New Roman" w:hAnsi="Times New Roman"/>
                <w:sz w:val="20"/>
                <w:szCs w:val="20"/>
                <w:color w:val="1E1E1E"/>
              </w:rPr>
              <w:t>137.6</w:t>
            </w:r>
          </w:p>
        </w:tc>
        <w:tc>
          <w:tcPr>
            <w:tcW w:w="80" w:type="dxa"/>
            <w:vAlign w:val="bottom"/>
            <w:tcBorders>
              <w:bottom w:val="single" w:sz="8" w:color="E1E1E1"/>
            </w:tcBorders>
          </w:tcPr>
          <w:p>
            <w:pPr>
              <w:spacing w:after="0"/>
              <w:rPr>
                <w:sz w:val="21"/>
                <w:szCs w:val="21"/>
                <w:color w:val="auto"/>
              </w:rPr>
            </w:pPr>
          </w:p>
        </w:tc>
        <w:tc>
          <w:tcPr>
            <w:tcW w:w="28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shd w:val="clear" w:color="auto" w:fill="E1E1E1"/>
          </w:tcPr>
          <w:p>
            <w:pPr>
              <w:spacing w:after="0" w:line="238" w:lineRule="exact"/>
              <w:rPr>
                <w:sz w:val="20"/>
                <w:szCs w:val="20"/>
                <w:color w:val="auto"/>
              </w:rPr>
            </w:pPr>
            <w:r>
              <w:rPr>
                <w:rFonts w:ascii="Times New Roman" w:cs="Times New Roman" w:eastAsia="Times New Roman" w:hAnsi="Times New Roman"/>
                <w:sz w:val="20"/>
                <w:szCs w:val="20"/>
                <w:color w:val="1E1E1E"/>
              </w:rPr>
              <w:t xml:space="preserve">Core adjusted EBITDA </w:t>
            </w:r>
            <w:r>
              <w:rPr>
                <w:rFonts w:ascii="Times New Roman" w:cs="Times New Roman" w:eastAsia="Times New Roman" w:hAnsi="Times New Roman"/>
                <w:sz w:val="26"/>
                <w:szCs w:val="26"/>
                <w:color w:val="1E1E1E"/>
                <w:vertAlign w:val="superscript"/>
              </w:rPr>
              <w:t>(3) (4)</w:t>
            </w:r>
          </w:p>
        </w:tc>
        <w:tc>
          <w:tcPr>
            <w:tcW w:w="140" w:type="dxa"/>
            <w:vAlign w:val="bottom"/>
            <w:shd w:val="clear" w:color="auto" w:fill="E1E1E1"/>
          </w:tcPr>
          <w:p>
            <w:pPr>
              <w:spacing w:after="0"/>
              <w:rPr>
                <w:sz w:val="20"/>
                <w:szCs w:val="20"/>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379.4</w:t>
            </w:r>
          </w:p>
        </w:tc>
        <w:tc>
          <w:tcPr>
            <w:tcW w:w="22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19.6</w:t>
            </w:r>
          </w:p>
        </w:tc>
        <w:tc>
          <w:tcPr>
            <w:tcW w:w="34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140" w:type="dxa"/>
            <w:vAlign w:val="bottom"/>
            <w:shd w:val="clear" w:color="auto" w:fill="E1E1E1"/>
          </w:tcPr>
          <w:p>
            <w:pPr>
              <w:spacing w:after="0"/>
              <w:rPr>
                <w:sz w:val="20"/>
                <w:szCs w:val="20"/>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137.4</w:t>
            </w:r>
          </w:p>
        </w:tc>
        <w:tc>
          <w:tcPr>
            <w:tcW w:w="200" w:type="dxa"/>
            <w:vAlign w:val="bottom"/>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9.9</w:t>
            </w:r>
          </w:p>
        </w:tc>
        <w:tc>
          <w:tcPr>
            <w:tcW w:w="80" w:type="dxa"/>
            <w:vAlign w:val="bottom"/>
            <w:shd w:val="clear" w:color="auto" w:fill="E1E1E1"/>
          </w:tcPr>
          <w:p>
            <w:pPr>
              <w:spacing w:after="0"/>
              <w:rPr>
                <w:sz w:val="20"/>
                <w:szCs w:val="20"/>
                <w:color w:val="auto"/>
              </w:rPr>
            </w:pPr>
          </w:p>
        </w:tc>
        <w:tc>
          <w:tcPr>
            <w:tcW w:w="34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242.0</w:t>
            </w:r>
          </w:p>
        </w:tc>
        <w:tc>
          <w:tcPr>
            <w:tcW w:w="200" w:type="dxa"/>
            <w:vAlign w:val="bottom"/>
            <w:shd w:val="clear" w:color="auto" w:fill="E1E1E1"/>
          </w:tcPr>
          <w:p>
            <w:pPr>
              <w:spacing w:after="0"/>
              <w:rPr>
                <w:sz w:val="20"/>
                <w:szCs w:val="20"/>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176.1</w:t>
            </w:r>
          </w:p>
        </w:tc>
        <w:tc>
          <w:tcPr>
            <w:tcW w:w="8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E1E1E1"/>
            </w:tcBorders>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Corporate and other </w:t>
            </w:r>
            <w:r>
              <w:rPr>
                <w:rFonts w:ascii="Times New Roman" w:cs="Times New Roman" w:eastAsia="Times New Roman" w:hAnsi="Times New Roman"/>
                <w:sz w:val="26"/>
                <w:szCs w:val="26"/>
                <w:color w:val="1E1E1E"/>
                <w:vertAlign w:val="superscript"/>
              </w:rPr>
              <w:t>(2)</w:t>
            </w:r>
          </w:p>
        </w:tc>
        <w:tc>
          <w:tcPr>
            <w:tcW w:w="140" w:type="dxa"/>
            <w:vAlign w:val="bottom"/>
            <w:tcBorders>
              <w:bottom w:val="single" w:sz="8" w:color="1E1E1E"/>
            </w:tcBorders>
          </w:tcPr>
          <w:p>
            <w:pPr>
              <w:spacing w:after="0"/>
              <w:rPr>
                <w:sz w:val="21"/>
                <w:szCs w:val="21"/>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(87.4)</w:t>
            </w:r>
          </w:p>
        </w:tc>
        <w:tc>
          <w:tcPr>
            <w:tcW w:w="220" w:type="dxa"/>
            <w:vAlign w:val="bottom"/>
            <w:tcBorders>
              <w:bottom w:val="single" w:sz="8" w:color="E1E1E1"/>
            </w:tcBorders>
          </w:tcPr>
          <w:p>
            <w:pPr>
              <w:spacing w:after="0"/>
              <w:rPr>
                <w:sz w:val="21"/>
                <w:szCs w:val="21"/>
                <w:color w:val="auto"/>
              </w:rPr>
            </w:pPr>
          </w:p>
        </w:tc>
        <w:tc>
          <w:tcPr>
            <w:tcW w:w="80" w:type="dxa"/>
            <w:vAlign w:val="bottom"/>
            <w:tcBorders>
              <w:bottom w:val="single" w:sz="8" w:color="E1E1E1"/>
            </w:tcBorders>
          </w:tcPr>
          <w:p>
            <w:pPr>
              <w:spacing w:after="0"/>
              <w:rPr>
                <w:sz w:val="21"/>
                <w:szCs w:val="21"/>
                <w:color w:val="auto"/>
              </w:rPr>
            </w:pPr>
          </w:p>
        </w:tc>
        <w:tc>
          <w:tcPr>
            <w:tcW w:w="800" w:type="dxa"/>
            <w:vAlign w:val="bottom"/>
            <w:tcBorders>
              <w:bottom w:val="single" w:sz="8" w:color="E1E1E1"/>
            </w:tcBorders>
          </w:tcPr>
          <w:p>
            <w:pPr>
              <w:jc w:val="right"/>
              <w:spacing w:after="0"/>
              <w:rPr>
                <w:sz w:val="20"/>
                <w:szCs w:val="20"/>
                <w:color w:val="auto"/>
              </w:rPr>
            </w:pPr>
            <w:r>
              <w:rPr>
                <w:rFonts w:ascii="Times New Roman" w:cs="Times New Roman" w:eastAsia="Times New Roman" w:hAnsi="Times New Roman"/>
                <w:sz w:val="20"/>
                <w:szCs w:val="20"/>
                <w:color w:val="1E1E1E"/>
              </w:rPr>
              <w:t>NM</w:t>
            </w:r>
          </w:p>
        </w:tc>
        <w:tc>
          <w:tcPr>
            <w:tcW w:w="340" w:type="dxa"/>
            <w:vAlign w:val="bottom"/>
            <w:tcBorders>
              <w:bottom w:val="single" w:sz="8" w:color="E1E1E1"/>
            </w:tcBorders>
          </w:tcPr>
          <w:p>
            <w:pPr>
              <w:spacing w:after="0"/>
              <w:rPr>
                <w:sz w:val="21"/>
                <w:szCs w:val="21"/>
                <w:color w:val="auto"/>
              </w:rPr>
            </w:pPr>
          </w:p>
        </w:tc>
        <w:tc>
          <w:tcPr>
            <w:tcW w:w="80" w:type="dxa"/>
            <w:vAlign w:val="bottom"/>
            <w:tcBorders>
              <w:bottom w:val="single" w:sz="8" w:color="E1E1E1"/>
            </w:tcBorders>
          </w:tcPr>
          <w:p>
            <w:pPr>
              <w:spacing w:after="0"/>
              <w:rPr>
                <w:sz w:val="21"/>
                <w:szCs w:val="21"/>
                <w:color w:val="auto"/>
              </w:rPr>
            </w:pPr>
          </w:p>
        </w:tc>
        <w:tc>
          <w:tcPr>
            <w:tcW w:w="140" w:type="dxa"/>
            <w:vAlign w:val="bottom"/>
            <w:tcBorders>
              <w:bottom w:val="single" w:sz="8" w:color="1E1E1E"/>
            </w:tcBorders>
          </w:tcPr>
          <w:p>
            <w:pPr>
              <w:spacing w:after="0"/>
              <w:rPr>
                <w:sz w:val="21"/>
                <w:szCs w:val="21"/>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(112.9)</w:t>
            </w:r>
          </w:p>
        </w:tc>
        <w:tc>
          <w:tcPr>
            <w:tcW w:w="200" w:type="dxa"/>
            <w:vAlign w:val="bottom"/>
            <w:tcBorders>
              <w:bottom w:val="single" w:sz="8" w:color="E1E1E1"/>
            </w:tcBorders>
          </w:tcPr>
          <w:p>
            <w:pPr>
              <w:spacing w:after="0"/>
              <w:rPr>
                <w:sz w:val="21"/>
                <w:szCs w:val="21"/>
                <w:color w:val="auto"/>
              </w:rPr>
            </w:pPr>
          </w:p>
        </w:tc>
        <w:tc>
          <w:tcPr>
            <w:tcW w:w="60" w:type="dxa"/>
            <w:vAlign w:val="bottom"/>
            <w:tcBorders>
              <w:bottom w:val="single" w:sz="8" w:color="E1E1E1"/>
            </w:tcBorders>
          </w:tcPr>
          <w:p>
            <w:pPr>
              <w:spacing w:after="0"/>
              <w:rPr>
                <w:sz w:val="21"/>
                <w:szCs w:val="21"/>
                <w:color w:val="auto"/>
              </w:rPr>
            </w:pPr>
          </w:p>
        </w:tc>
        <w:tc>
          <w:tcPr>
            <w:tcW w:w="880" w:type="dxa"/>
            <w:vAlign w:val="bottom"/>
            <w:tcBorders>
              <w:bottom w:val="single" w:sz="8" w:color="E1E1E1"/>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NM</w:t>
            </w:r>
          </w:p>
        </w:tc>
        <w:tc>
          <w:tcPr>
            <w:tcW w:w="340" w:type="dxa"/>
            <w:vAlign w:val="bottom"/>
            <w:tcBorders>
              <w:bottom w:val="single" w:sz="8" w:color="E1E1E1"/>
            </w:tcBorders>
          </w:tcPr>
          <w:p>
            <w:pPr>
              <w:spacing w:after="0"/>
              <w:rPr>
                <w:sz w:val="21"/>
                <w:szCs w:val="21"/>
                <w:color w:val="auto"/>
              </w:rPr>
            </w:pPr>
          </w:p>
        </w:tc>
        <w:tc>
          <w:tcPr>
            <w:tcW w:w="120" w:type="dxa"/>
            <w:vAlign w:val="bottom"/>
            <w:tcBorders>
              <w:bottom w:val="single" w:sz="8" w:color="1E1E1E"/>
            </w:tcBorders>
          </w:tcPr>
          <w:p>
            <w:pPr>
              <w:spacing w:after="0"/>
              <w:rPr>
                <w:sz w:val="21"/>
                <w:szCs w:val="21"/>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25.5</w:t>
            </w:r>
          </w:p>
        </w:tc>
        <w:tc>
          <w:tcPr>
            <w:tcW w:w="200" w:type="dxa"/>
            <w:vAlign w:val="bottom"/>
            <w:tcBorders>
              <w:bottom w:val="single" w:sz="8" w:color="E1E1E1"/>
            </w:tcBorders>
          </w:tcPr>
          <w:p>
            <w:pPr>
              <w:spacing w:after="0"/>
              <w:rPr>
                <w:sz w:val="21"/>
                <w:szCs w:val="21"/>
                <w:color w:val="auto"/>
              </w:rPr>
            </w:pPr>
          </w:p>
        </w:tc>
        <w:tc>
          <w:tcPr>
            <w:tcW w:w="940" w:type="dxa"/>
            <w:vAlign w:val="bottom"/>
            <w:tcBorders>
              <w:bottom w:val="single" w:sz="8" w:color="E1E1E1"/>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(22.6)</w:t>
            </w:r>
          </w:p>
        </w:tc>
        <w:tc>
          <w:tcPr>
            <w:tcW w:w="28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E1E1E1"/>
          </w:tcPr>
          <w:p>
            <w:pPr>
              <w:spacing w:after="0" w:line="218" w:lineRule="exact"/>
              <w:rPr>
                <w:sz w:val="20"/>
                <w:szCs w:val="20"/>
                <w:color w:val="auto"/>
              </w:rPr>
            </w:pPr>
            <w:r>
              <w:rPr>
                <w:rFonts w:ascii="Times New Roman" w:cs="Times New Roman" w:eastAsia="Times New Roman" w:hAnsi="Times New Roman"/>
                <w:sz w:val="20"/>
                <w:szCs w:val="20"/>
                <w:color w:val="1E1E1E"/>
              </w:rPr>
              <w:t>Non-GAAP consolidated adjusted</w:t>
            </w:r>
          </w:p>
        </w:tc>
        <w:tc>
          <w:tcPr>
            <w:tcW w:w="140" w:type="dxa"/>
            <w:vAlign w:val="bottom"/>
            <w:shd w:val="clear" w:color="auto" w:fill="E1E1E1"/>
          </w:tcPr>
          <w:p>
            <w:pPr>
              <w:spacing w:after="0"/>
              <w:rPr>
                <w:sz w:val="18"/>
                <w:szCs w:val="18"/>
                <w:color w:val="auto"/>
              </w:rPr>
            </w:pPr>
          </w:p>
        </w:tc>
        <w:tc>
          <w:tcPr>
            <w:tcW w:w="780" w:type="dxa"/>
            <w:vAlign w:val="bottom"/>
            <w:shd w:val="clear" w:color="auto" w:fill="E1E1E1"/>
          </w:tcPr>
          <w:p>
            <w:pPr>
              <w:spacing w:after="0"/>
              <w:rPr>
                <w:sz w:val="18"/>
                <w:szCs w:val="18"/>
                <w:color w:val="auto"/>
              </w:rPr>
            </w:pPr>
          </w:p>
        </w:tc>
        <w:tc>
          <w:tcPr>
            <w:tcW w:w="220" w:type="dxa"/>
            <w:vAlign w:val="bottom"/>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800" w:type="dxa"/>
            <w:vAlign w:val="bottom"/>
            <w:shd w:val="clear" w:color="auto" w:fill="E1E1E1"/>
          </w:tcPr>
          <w:p>
            <w:pPr>
              <w:spacing w:after="0"/>
              <w:rPr>
                <w:sz w:val="18"/>
                <w:szCs w:val="18"/>
                <w:color w:val="auto"/>
              </w:rPr>
            </w:pPr>
          </w:p>
        </w:tc>
        <w:tc>
          <w:tcPr>
            <w:tcW w:w="340" w:type="dxa"/>
            <w:vAlign w:val="bottom"/>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140" w:type="dxa"/>
            <w:vAlign w:val="bottom"/>
            <w:shd w:val="clear" w:color="auto" w:fill="E1E1E1"/>
          </w:tcPr>
          <w:p>
            <w:pPr>
              <w:spacing w:after="0"/>
              <w:rPr>
                <w:sz w:val="18"/>
                <w:szCs w:val="18"/>
                <w:color w:val="auto"/>
              </w:rPr>
            </w:pPr>
          </w:p>
        </w:tc>
        <w:tc>
          <w:tcPr>
            <w:tcW w:w="780" w:type="dxa"/>
            <w:vAlign w:val="bottom"/>
            <w:shd w:val="clear" w:color="auto" w:fill="E1E1E1"/>
          </w:tcPr>
          <w:p>
            <w:pPr>
              <w:spacing w:after="0"/>
              <w:rPr>
                <w:sz w:val="18"/>
                <w:szCs w:val="18"/>
                <w:color w:val="auto"/>
              </w:rPr>
            </w:pPr>
          </w:p>
        </w:tc>
        <w:tc>
          <w:tcPr>
            <w:tcW w:w="200" w:type="dxa"/>
            <w:vAlign w:val="bottom"/>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800" w:type="dxa"/>
            <w:vAlign w:val="bottom"/>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340" w:type="dxa"/>
            <w:vAlign w:val="bottom"/>
            <w:shd w:val="clear" w:color="auto" w:fill="E1E1E1"/>
          </w:tcPr>
          <w:p>
            <w:pPr>
              <w:spacing w:after="0"/>
              <w:rPr>
                <w:sz w:val="18"/>
                <w:szCs w:val="18"/>
                <w:color w:val="auto"/>
              </w:rPr>
            </w:pPr>
          </w:p>
        </w:tc>
        <w:tc>
          <w:tcPr>
            <w:tcW w:w="120" w:type="dxa"/>
            <w:vAlign w:val="bottom"/>
            <w:shd w:val="clear" w:color="auto" w:fill="E1E1E1"/>
          </w:tcPr>
          <w:p>
            <w:pPr>
              <w:spacing w:after="0"/>
              <w:rPr>
                <w:sz w:val="18"/>
                <w:szCs w:val="18"/>
                <w:color w:val="auto"/>
              </w:rPr>
            </w:pPr>
          </w:p>
        </w:tc>
        <w:tc>
          <w:tcPr>
            <w:tcW w:w="720" w:type="dxa"/>
            <w:vAlign w:val="bottom"/>
            <w:shd w:val="clear" w:color="auto" w:fill="E1E1E1"/>
          </w:tcPr>
          <w:p>
            <w:pPr>
              <w:spacing w:after="0"/>
              <w:rPr>
                <w:sz w:val="18"/>
                <w:szCs w:val="18"/>
                <w:color w:val="auto"/>
              </w:rPr>
            </w:pPr>
          </w:p>
        </w:tc>
        <w:tc>
          <w:tcPr>
            <w:tcW w:w="200" w:type="dxa"/>
            <w:vAlign w:val="bottom"/>
            <w:shd w:val="clear" w:color="auto" w:fill="E1E1E1"/>
          </w:tcPr>
          <w:p>
            <w:pPr>
              <w:spacing w:after="0"/>
              <w:rPr>
                <w:sz w:val="18"/>
                <w:szCs w:val="18"/>
                <w:color w:val="auto"/>
              </w:rPr>
            </w:pPr>
          </w:p>
        </w:tc>
        <w:tc>
          <w:tcPr>
            <w:tcW w:w="860" w:type="dxa"/>
            <w:vAlign w:val="bottom"/>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28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700" w:type="dxa"/>
            <w:vAlign w:val="bottom"/>
            <w:shd w:val="clear" w:color="auto" w:fill="E1E1E1"/>
          </w:tcPr>
          <w:p>
            <w:pPr>
              <w:ind w:left="140"/>
              <w:spacing w:after="0" w:line="251" w:lineRule="exact"/>
              <w:rPr>
                <w:sz w:val="20"/>
                <w:szCs w:val="20"/>
                <w:color w:val="auto"/>
              </w:rPr>
            </w:pPr>
            <w:r>
              <w:rPr>
                <w:rFonts w:ascii="Times New Roman" w:cs="Times New Roman" w:eastAsia="Times New Roman" w:hAnsi="Times New Roman"/>
                <w:sz w:val="20"/>
                <w:szCs w:val="20"/>
                <w:color w:val="1E1E1E"/>
              </w:rPr>
              <w:t xml:space="preserve">EBITDA </w:t>
            </w:r>
            <w:r>
              <w:rPr>
                <w:rFonts w:ascii="Times New Roman" w:cs="Times New Roman" w:eastAsia="Times New Roman" w:hAnsi="Times New Roman"/>
                <w:sz w:val="26"/>
                <w:szCs w:val="26"/>
                <w:color w:val="1E1E1E"/>
                <w:vertAlign w:val="superscript"/>
              </w:rPr>
              <w:t>(4)</w:t>
            </w:r>
          </w:p>
        </w:tc>
        <w:tc>
          <w:tcPr>
            <w:tcW w:w="1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292.0</w:t>
            </w:r>
          </w:p>
        </w:tc>
        <w:tc>
          <w:tcPr>
            <w:tcW w:w="2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15.1</w:t>
            </w:r>
          </w:p>
        </w:tc>
        <w:tc>
          <w:tcPr>
            <w:tcW w:w="340" w:type="dxa"/>
            <w:vAlign w:val="bottom"/>
            <w:shd w:val="clear" w:color="auto" w:fill="E1E1E1"/>
          </w:tcPr>
          <w:p>
            <w:pPr>
              <w:jc w:val="center"/>
              <w:spacing w:after="0"/>
              <w:rPr>
                <w:sz w:val="20"/>
                <w:szCs w:val="20"/>
                <w:color w:val="auto"/>
              </w:rPr>
            </w:pPr>
            <w:r>
              <w:rPr>
                <w:rFonts w:ascii="Times New Roman" w:cs="Times New Roman" w:eastAsia="Times New Roman" w:hAnsi="Times New Roman"/>
                <w:sz w:val="20"/>
                <w:szCs w:val="20"/>
                <w:color w:val="1E1E1E"/>
                <w:w w:val="95"/>
              </w:rPr>
              <w:t>%</w:t>
            </w:r>
          </w:p>
        </w:tc>
        <w:tc>
          <w:tcPr>
            <w:tcW w:w="80" w:type="dxa"/>
            <w:vAlign w:val="bottom"/>
            <w:shd w:val="clear" w:color="auto" w:fill="E1E1E1"/>
          </w:tcPr>
          <w:p>
            <w:pPr>
              <w:spacing w:after="0"/>
              <w:rPr>
                <w:sz w:val="21"/>
                <w:szCs w:val="21"/>
                <w:color w:val="auto"/>
              </w:rPr>
            </w:pPr>
          </w:p>
        </w:tc>
        <w:tc>
          <w:tcPr>
            <w:tcW w:w="1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24.5</w:t>
            </w:r>
          </w:p>
        </w:tc>
        <w:tc>
          <w:tcPr>
            <w:tcW w:w="20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8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80" w:type="dxa"/>
            <w:vAlign w:val="bottom"/>
            <w:shd w:val="clear" w:color="auto" w:fill="E1E1E1"/>
          </w:tcPr>
          <w:p>
            <w:pPr>
              <w:spacing w:after="0"/>
              <w:rPr>
                <w:sz w:val="21"/>
                <w:szCs w:val="21"/>
                <w:color w:val="auto"/>
              </w:rPr>
            </w:pPr>
          </w:p>
        </w:tc>
        <w:tc>
          <w:tcPr>
            <w:tcW w:w="3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267.5</w:t>
            </w:r>
          </w:p>
        </w:tc>
        <w:tc>
          <w:tcPr>
            <w:tcW w:w="200" w:type="dxa"/>
            <w:vAlign w:val="bottom"/>
            <w:shd w:val="clear" w:color="auto" w:fill="E1E1E1"/>
          </w:tcPr>
          <w:p>
            <w:pPr>
              <w:spacing w:after="0"/>
              <w:rPr>
                <w:sz w:val="21"/>
                <w:szCs w:val="21"/>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1,091.8</w:t>
            </w:r>
          </w:p>
        </w:tc>
        <w:tc>
          <w:tcPr>
            <w:tcW w:w="80" w:type="dxa"/>
            <w:vAlign w:val="bottom"/>
            <w:shd w:val="clear" w:color="auto" w:fill="E1E1E1"/>
          </w:tcPr>
          <w:p>
            <w:pPr>
              <w:spacing w:after="0"/>
              <w:rPr>
                <w:sz w:val="21"/>
                <w:szCs w:val="21"/>
                <w:color w:val="auto"/>
              </w:rPr>
            </w:pPr>
          </w:p>
        </w:tc>
        <w:tc>
          <w:tcPr>
            <w:tcW w:w="2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NM – Not meaningful</w:t>
      </w:r>
    </w:p>
    <w:p>
      <w:pPr>
        <w:spacing w:after="0" w:line="259" w:lineRule="exact"/>
        <w:rPr>
          <w:sz w:val="20"/>
          <w:szCs w:val="20"/>
          <w:color w:val="auto"/>
        </w:rPr>
      </w:pPr>
    </w:p>
    <w:p>
      <w:pPr>
        <w:ind w:left="520" w:hanging="520"/>
        <w:spacing w:after="0"/>
        <w:tabs>
          <w:tab w:leader="none" w:pos="520" w:val="left"/>
        </w:tabs>
        <w:numPr>
          <w:ilvl w:val="0"/>
          <w:numId w:val="3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Includes activity of the OneCell business for periods prior to its disposition.</w:t>
      </w:r>
    </w:p>
    <w:p>
      <w:pPr>
        <w:spacing w:after="0" w:line="60" w:lineRule="exact"/>
        <w:rPr>
          <w:rFonts w:ascii="Times New Roman" w:cs="Times New Roman" w:eastAsia="Times New Roman" w:hAnsi="Times New Roman"/>
          <w:sz w:val="19"/>
          <w:szCs w:val="19"/>
          <w:color w:val="1E1E1E"/>
        </w:rPr>
      </w:pPr>
    </w:p>
    <w:p>
      <w:pPr>
        <w:ind w:left="520" w:right="100" w:hanging="520"/>
        <w:spacing w:after="0" w:line="248" w:lineRule="auto"/>
        <w:tabs>
          <w:tab w:leader="none" w:pos="520" w:val="left"/>
        </w:tabs>
        <w:numPr>
          <w:ilvl w:val="0"/>
          <w:numId w:val="3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corporate and other line item above primarily reflects general corporate costs that were previously allocated to the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the Amphenol TSA. The corporate and other costs related to the CCS segment will be reallocated to our remaining segments beginning in the first quarter of 2026.</w:t>
      </w:r>
    </w:p>
    <w:p>
      <w:pPr>
        <w:spacing w:after="0" w:line="16" w:lineRule="exact"/>
        <w:rPr>
          <w:rFonts w:ascii="Times New Roman" w:cs="Times New Roman" w:eastAsia="Times New Roman" w:hAnsi="Times New Roman"/>
          <w:sz w:val="19"/>
          <w:szCs w:val="19"/>
          <w:color w:val="1E1E1E"/>
        </w:rPr>
      </w:pPr>
    </w:p>
    <w:p>
      <w:pPr>
        <w:ind w:left="520" w:hanging="520"/>
        <w:spacing w:after="0" w:line="260" w:lineRule="auto"/>
        <w:tabs>
          <w:tab w:leader="none" w:pos="520" w:val="left"/>
        </w:tabs>
        <w:numPr>
          <w:ilvl w:val="0"/>
          <w:numId w:val="3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Core financial measures reflect the results of the RUCKUS and Aurora segments, in the aggregate, and exclude general corporate costs that were previously allocated to the CCS segment, OWN segment and DAS business unit, since these costs were not directly attributable to these discontinued operations.</w:t>
      </w:r>
    </w:p>
    <w:p>
      <w:pPr>
        <w:spacing w:after="0" w:line="5" w:lineRule="exact"/>
        <w:rPr>
          <w:rFonts w:ascii="Times New Roman" w:cs="Times New Roman" w:eastAsia="Times New Roman" w:hAnsi="Times New Roman"/>
          <w:sz w:val="19"/>
          <w:szCs w:val="19"/>
          <w:color w:val="1E1E1E"/>
        </w:rPr>
      </w:pPr>
    </w:p>
    <w:p>
      <w:pPr>
        <w:ind w:left="520" w:right="100" w:hanging="520"/>
        <w:spacing w:after="0" w:line="280" w:lineRule="auto"/>
        <w:tabs>
          <w:tab w:leader="none" w:pos="520" w:val="left"/>
        </w:tabs>
        <w:numPr>
          <w:ilvl w:val="0"/>
          <w:numId w:val="3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See “Reconciliation of Non-GAAP Measures” within this Management’s Discussion and Analysis of Financial Condition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RUCKUS</w:t>
      </w:r>
    </w:p>
    <w:p>
      <w:pPr>
        <w:spacing w:after="0" w:line="118"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0"/>
          <w:szCs w:val="20"/>
          <w:color w:val="1E1E1E"/>
        </w:rPr>
        <w:t>Net sales for the RUCKUS segment increased in 2025 compared to the prior year primarily due to higher sales volumes and pricing. From a regional perspective in 2025, net sales increased in the U.S. by $91.1 million, the EMEA region by $37.5 million, the APAC region by $19.3 million, Canada by $4.2 million and the CALA region by $0.5 million compared to the prior year. Foreign exchange rate changes did not have a material impact on RUCKUS segment net sales during 2025.</w:t>
      </w:r>
    </w:p>
    <w:p>
      <w:pPr>
        <w:spacing w:after="0" w:line="19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1E1E1E"/>
        </w:rPr>
        <w:t>For 2025, RUCKUS segment operating income and adjusted EBITDA increased compared to the prior year primarily due to higher sales volumes and pricing, partially offset by higher SG&amp;A, R&amp;D and input costs. In 2025, RUCKUS segment operating income was unfavorably impacted by the pretax loss of $4.8 million on the sale of our OneCell business which is not reflected in adjusted EBITDA. See “Reconciliation of Segment Adjusted EBITDA” within this Management’s Discussion and Analysis of Financial Condition and Results of Operations, below.</w:t>
      </w:r>
    </w:p>
    <w:p>
      <w:pPr>
        <w:sectPr>
          <w:pgSz w:w="11880" w:h="15480" w:orient="portrait"/>
          <w:cols w:equalWidth="0" w:num="1">
            <w:col w:w="10800"/>
          </w:cols>
          <w:pgMar w:left="540" w:top="1240" w:right="54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43</w:t>
      </w:r>
    </w:p>
    <w:p>
      <w:pPr>
        <w:sectPr>
          <w:pgSz w:w="11880" w:h="15480" w:orient="portrait"/>
          <w:cols w:equalWidth="0" w:num="1">
            <w:col w:w="10800"/>
          </w:cols>
          <w:pgMar w:left="540" w:top="1240" w:right="54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i w:val="1"/>
          <w:iCs w:val="1"/>
          <w:color w:val="1E1E1E"/>
        </w:rPr>
        <w:t>Aurora</w:t>
      </w:r>
    </w:p>
    <w:p>
      <w:pPr>
        <w:spacing w:after="0" w:line="11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1E1E1E"/>
        </w:rPr>
        <w:t>Net sales for our Aurora segment increased in 2025 compared to the prior year primarily due to higher sales volume from an increase in demand. From a regional perspective in 2025, net sales increased in the U.S. by $367.1 million, the EMEA region by $27.8 million, the APAC region by $10.7 million and Canada by $1.3 million, but decreased in the CALA region by $10.0 million. Foreign exchange rate changes did not have a material impact on Aurora segment net sales during 2025.</w:t>
      </w:r>
    </w:p>
    <w:p>
      <w:pPr>
        <w:spacing w:after="0" w:line="190"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color w:val="1E1E1E"/>
        </w:rPr>
        <w:t>For 2025, ANS segment operating income and adjusted EBITDA increased compared to the prior year primarily due to higher sales volumes, partially offset by higher SG&amp;A, R&amp;D and input costs and unfavorable product mix. For 2025, ANS segment operating income was favorably impacted by reductions in amortization expense of $21.7 million, restructuring costs of $21.7 million and transaction, transformation and integration costs of $13.8 million. Amortization expense, restructuring costs and transaction, transformation and integration costs and are not reflected in adjusted EBITDA. Also see “Reconciliation of Segment Adjusted EBITDA” within this Management’s Discussion and Analysis of Financial Condition and Results of Operations, below.</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Liquidity and Capital Resources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summarizes certain key measures of our liquidity and capital resources: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326"/>
              <w:spacing w:after="0"/>
              <w:rPr>
                <w:sz w:val="20"/>
                <w:szCs w:val="20"/>
                <w:color w:val="auto"/>
              </w:rPr>
            </w:pPr>
            <w:r>
              <w:rPr>
                <w:rFonts w:ascii="Times New Roman" w:cs="Times New Roman" w:eastAsia="Times New Roman" w:hAnsi="Times New Roman"/>
                <w:sz w:val="16"/>
                <w:szCs w:val="16"/>
                <w:b w:val="1"/>
                <w:bCs w:val="1"/>
                <w:color w:val="1E1E1E"/>
              </w:rPr>
              <w:t>$</w:t>
            </w:r>
          </w:p>
        </w:tc>
        <w:tc>
          <w:tcPr>
            <w:tcW w:w="260" w:type="dxa"/>
            <w:vAlign w:val="bottom"/>
          </w:tcPr>
          <w:p>
            <w:pPr>
              <w:spacing w:after="0"/>
              <w:rPr>
                <w:sz w:val="16"/>
                <w:szCs w:val="16"/>
                <w:color w:val="auto"/>
              </w:rPr>
            </w:pPr>
          </w:p>
        </w:tc>
        <w:tc>
          <w:tcPr>
            <w:tcW w:w="920" w:type="dxa"/>
            <w:vAlign w:val="bottom"/>
          </w:tcPr>
          <w:p>
            <w:pPr>
              <w:jc w:val="right"/>
              <w:ind w:right="286"/>
              <w:spacing w:after="0"/>
              <w:rPr>
                <w:sz w:val="20"/>
                <w:szCs w:val="20"/>
                <w:color w:val="auto"/>
              </w:rPr>
            </w:pPr>
            <w:r>
              <w:rPr>
                <w:rFonts w:ascii="Times New Roman" w:cs="Times New Roman" w:eastAsia="Times New Roman" w:hAnsi="Times New Roman"/>
                <w:sz w:val="16"/>
                <w:szCs w:val="16"/>
                <w:b w:val="1"/>
                <w:bCs w:val="1"/>
                <w:color w:val="1E1E1E"/>
              </w:rPr>
              <w:t>%</w:t>
            </w:r>
          </w:p>
        </w:tc>
        <w:tc>
          <w:tcPr>
            <w:tcW w:w="340" w:type="dxa"/>
            <w:vAlign w:val="bottom"/>
          </w:tcPr>
          <w:p>
            <w:pPr>
              <w:spacing w:after="0"/>
              <w:rPr>
                <w:sz w:val="16"/>
                <w:szCs w:val="16"/>
                <w:color w:val="auto"/>
              </w:rPr>
            </w:pPr>
          </w:p>
        </w:tc>
      </w:tr>
      <w:tr>
        <w:trPr>
          <w:trHeight w:val="204"/>
        </w:trPr>
        <w:tc>
          <w:tcPr>
            <w:tcW w:w="4880" w:type="dxa"/>
            <w:vAlign w:val="bottom"/>
          </w:tcPr>
          <w:p>
            <w:pPr>
              <w:spacing w:after="0"/>
              <w:rPr>
                <w:sz w:val="17"/>
                <w:szCs w:val="17"/>
                <w:color w:val="auto"/>
              </w:rPr>
            </w:pPr>
          </w:p>
        </w:tc>
        <w:tc>
          <w:tcPr>
            <w:tcW w:w="340" w:type="dxa"/>
            <w:vAlign w:val="bottom"/>
            <w:tcBorders>
              <w:bottom w:val="single" w:sz="8" w:color="1E1E1E"/>
            </w:tcBorders>
          </w:tcPr>
          <w:p>
            <w:pPr>
              <w:spacing w:after="0"/>
              <w:rPr>
                <w:sz w:val="17"/>
                <w:szCs w:val="17"/>
                <w:color w:val="auto"/>
              </w:rPr>
            </w:pPr>
          </w:p>
        </w:tc>
        <w:tc>
          <w:tcPr>
            <w:tcW w:w="116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6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100" w:type="dxa"/>
            <w:vAlign w:val="bottom"/>
            <w:tcBorders>
              <w:bottom w:val="single" w:sz="8" w:color="1E1E1E"/>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8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260" w:type="dxa"/>
            <w:vAlign w:val="bottom"/>
          </w:tcPr>
          <w:p>
            <w:pPr>
              <w:spacing w:after="0"/>
              <w:rPr>
                <w:sz w:val="17"/>
                <w:szCs w:val="17"/>
                <w:color w:val="auto"/>
              </w:rPr>
            </w:pPr>
          </w:p>
        </w:tc>
        <w:tc>
          <w:tcPr>
            <w:tcW w:w="920" w:type="dxa"/>
            <w:vAlign w:val="bottom"/>
            <w:tcBorders>
              <w:bottom w:val="single" w:sz="8" w:color="1E1E1E"/>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340" w:type="dxa"/>
            <w:vAlign w:val="bottom"/>
          </w:tcPr>
          <w:p>
            <w:pPr>
              <w:spacing w:after="0"/>
              <w:rPr>
                <w:sz w:val="17"/>
                <w:szCs w:val="17"/>
                <w:color w:val="auto"/>
              </w:rPr>
            </w:pPr>
          </w:p>
        </w:tc>
      </w:tr>
      <w:tr>
        <w:trPr>
          <w:trHeight w:val="193"/>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44"/>
        </w:trPr>
        <w:tc>
          <w:tcPr>
            <w:tcW w:w="4880" w:type="dxa"/>
            <w:vAlign w:val="bottom"/>
            <w:shd w:val="clear" w:color="auto" w:fill="E1E1E1"/>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Cash and cash equivalents </w:t>
            </w:r>
            <w:r>
              <w:rPr>
                <w:rFonts w:ascii="Times New Roman" w:cs="Times New Roman" w:eastAsia="Times New Roman" w:hAnsi="Times New Roman"/>
                <w:sz w:val="26"/>
                <w:szCs w:val="26"/>
                <w:color w:val="1E1E1E"/>
                <w:vertAlign w:val="superscript"/>
              </w:rPr>
              <w:t>(1)</w:t>
            </w:r>
          </w:p>
        </w:tc>
        <w:tc>
          <w:tcPr>
            <w:tcW w:w="340" w:type="dxa"/>
            <w:vAlign w:val="bottom"/>
            <w:shd w:val="clear" w:color="auto" w:fill="E1E1E1"/>
          </w:tcPr>
          <w:p>
            <w:pPr>
              <w:jc w:val="right"/>
              <w:ind w:right="14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922.8</w:t>
            </w:r>
          </w:p>
        </w:tc>
        <w:tc>
          <w:tcPr>
            <w:tcW w:w="360" w:type="dxa"/>
            <w:vAlign w:val="bottom"/>
            <w:shd w:val="clear" w:color="auto" w:fill="E1E1E1"/>
          </w:tcPr>
          <w:p>
            <w:pPr>
              <w:spacing w:after="0"/>
              <w:rPr>
                <w:sz w:val="21"/>
                <w:szCs w:val="21"/>
                <w:color w:val="auto"/>
              </w:rPr>
            </w:pP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663.3</w:t>
            </w:r>
          </w:p>
        </w:tc>
        <w:tc>
          <w:tcPr>
            <w:tcW w:w="380" w:type="dxa"/>
            <w:vAlign w:val="bottom"/>
            <w:shd w:val="clear" w:color="auto" w:fill="E1E1E1"/>
          </w:tcPr>
          <w:p>
            <w:pPr>
              <w:spacing w:after="0"/>
              <w:rPr>
                <w:sz w:val="21"/>
                <w:szCs w:val="21"/>
                <w:color w:val="auto"/>
              </w:rPr>
            </w:pPr>
          </w:p>
        </w:tc>
        <w:tc>
          <w:tcPr>
            <w:tcW w:w="1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259.5</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39.1</w:t>
            </w:r>
          </w:p>
        </w:tc>
        <w:tc>
          <w:tcPr>
            <w:tcW w:w="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23"/>
        </w:trPr>
        <w:tc>
          <w:tcPr>
            <w:tcW w:w="48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1E1E1E"/>
              </w:rPr>
              <w:t>Working capital, net of assets and liabilities held for</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1"/>
        </w:trPr>
        <w:tc>
          <w:tcPr>
            <w:tcW w:w="4880" w:type="dxa"/>
            <w:vAlign w:val="bottom"/>
          </w:tcPr>
          <w:p>
            <w:pPr>
              <w:ind w:left="160"/>
              <w:spacing w:after="0" w:line="251" w:lineRule="exact"/>
              <w:rPr>
                <w:sz w:val="20"/>
                <w:szCs w:val="20"/>
                <w:color w:val="auto"/>
              </w:rPr>
            </w:pPr>
            <w:r>
              <w:rPr>
                <w:rFonts w:ascii="Times New Roman" w:cs="Times New Roman" w:eastAsia="Times New Roman" w:hAnsi="Times New Roman"/>
                <w:sz w:val="20"/>
                <w:szCs w:val="20"/>
                <w:color w:val="1E1E1E"/>
              </w:rPr>
              <w:t xml:space="preserve">sale </w:t>
            </w:r>
            <w:r>
              <w:rPr>
                <w:rFonts w:ascii="Times New Roman" w:cs="Times New Roman" w:eastAsia="Times New Roman" w:hAnsi="Times New Roman"/>
                <w:sz w:val="26"/>
                <w:szCs w:val="26"/>
                <w:color w:val="1E1E1E"/>
                <w:vertAlign w:val="superscript"/>
              </w:rPr>
              <w:t>(2)</w:t>
            </w:r>
            <w:r>
              <w:rPr>
                <w:rFonts w:ascii="Times New Roman" w:cs="Times New Roman" w:eastAsia="Times New Roman" w:hAnsi="Times New Roman"/>
                <w:sz w:val="20"/>
                <w:szCs w:val="20"/>
                <w:color w:val="1E1E1E"/>
              </w:rPr>
              <w:t xml:space="preserve"> and excluding cash and cash equivalents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164.2</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(158.5)</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(96.5)</w:t>
            </w:r>
          </w:p>
        </w:tc>
      </w:tr>
      <w:tr>
        <w:trPr>
          <w:trHeight w:val="244"/>
        </w:trPr>
        <w:tc>
          <w:tcPr>
            <w:tcW w:w="4880" w:type="dxa"/>
            <w:vAlign w:val="bottom"/>
            <w:shd w:val="clear" w:color="auto" w:fill="E1E1E1"/>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Availability under Revolving Credit Facility </w:t>
            </w:r>
            <w:r>
              <w:rPr>
                <w:rFonts w:ascii="Times New Roman" w:cs="Times New Roman" w:eastAsia="Times New Roman" w:hAnsi="Times New Roman"/>
                <w:sz w:val="26"/>
                <w:szCs w:val="26"/>
                <w:color w:val="1E1E1E"/>
                <w:vertAlign w:val="superscript"/>
              </w:rPr>
              <w:t>(3)</w:t>
            </w:r>
          </w:p>
        </w:tc>
        <w:tc>
          <w:tcPr>
            <w:tcW w:w="340" w:type="dxa"/>
            <w:vAlign w:val="bottom"/>
            <w:shd w:val="clear" w:color="auto" w:fill="E1E1E1"/>
          </w:tcPr>
          <w:p>
            <w:pPr>
              <w:spacing w:after="0"/>
              <w:rPr>
                <w:sz w:val="21"/>
                <w:szCs w:val="21"/>
                <w:color w:val="auto"/>
              </w:rPr>
            </w:pPr>
          </w:p>
        </w:tc>
        <w:tc>
          <w:tcPr>
            <w:tcW w:w="11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584.5</w:t>
            </w:r>
          </w:p>
        </w:tc>
        <w:tc>
          <w:tcPr>
            <w:tcW w:w="3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449.3</w:t>
            </w:r>
          </w:p>
        </w:tc>
        <w:tc>
          <w:tcPr>
            <w:tcW w:w="3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135.2</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30.1</w:t>
            </w:r>
          </w:p>
        </w:tc>
        <w:tc>
          <w:tcPr>
            <w:tcW w:w="340" w:type="dxa"/>
            <w:vAlign w:val="bottom"/>
            <w:shd w:val="clear" w:color="auto" w:fill="E1E1E1"/>
          </w:tcPr>
          <w:p>
            <w:pPr>
              <w:spacing w:after="0"/>
              <w:rPr>
                <w:sz w:val="21"/>
                <w:szCs w:val="21"/>
                <w:color w:val="auto"/>
              </w:rPr>
            </w:pPr>
          </w:p>
        </w:tc>
      </w:tr>
      <w:tr>
        <w:trPr>
          <w:trHeight w:val="244"/>
        </w:trPr>
        <w:tc>
          <w:tcPr>
            <w:tcW w:w="48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Long-term debt </w:t>
            </w:r>
            <w:r>
              <w:rPr>
                <w:rFonts w:ascii="Times New Roman" w:cs="Times New Roman" w:eastAsia="Times New Roman" w:hAnsi="Times New Roman"/>
                <w:sz w:val="26"/>
                <w:szCs w:val="26"/>
                <w:color w:val="1E1E1E"/>
                <w:vertAlign w:val="superscript"/>
              </w:rPr>
              <w:t>(3)</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7,260.2</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9,238.4</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(1,978.2)</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(21.4)</w:t>
            </w:r>
          </w:p>
        </w:tc>
      </w:tr>
      <w:tr>
        <w:trPr>
          <w:trHeight w:val="244"/>
        </w:trPr>
        <w:tc>
          <w:tcPr>
            <w:tcW w:w="4880" w:type="dxa"/>
            <w:vAlign w:val="bottom"/>
            <w:shd w:val="clear" w:color="auto" w:fill="E1E1E1"/>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Total capitalization </w:t>
            </w:r>
            <w:r>
              <w:rPr>
                <w:rFonts w:ascii="Times New Roman" w:cs="Times New Roman" w:eastAsia="Times New Roman" w:hAnsi="Times New Roman"/>
                <w:sz w:val="26"/>
                <w:szCs w:val="26"/>
                <w:color w:val="1E1E1E"/>
                <w:vertAlign w:val="superscript"/>
              </w:rPr>
              <w:t>(4)</w:t>
            </w:r>
          </w:p>
        </w:tc>
        <w:tc>
          <w:tcPr>
            <w:tcW w:w="340" w:type="dxa"/>
            <w:vAlign w:val="bottom"/>
            <w:shd w:val="clear" w:color="auto" w:fill="E1E1E1"/>
          </w:tcPr>
          <w:p>
            <w:pPr>
              <w:spacing w:after="0"/>
              <w:rPr>
                <w:sz w:val="21"/>
                <w:szCs w:val="21"/>
                <w:color w:val="auto"/>
              </w:rPr>
            </w:pPr>
          </w:p>
        </w:tc>
        <w:tc>
          <w:tcPr>
            <w:tcW w:w="11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7,534.8</w:t>
            </w:r>
          </w:p>
        </w:tc>
        <w:tc>
          <w:tcPr>
            <w:tcW w:w="3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7,009.6</w:t>
            </w:r>
          </w:p>
        </w:tc>
        <w:tc>
          <w:tcPr>
            <w:tcW w:w="3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525.2</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w:t>
            </w:r>
          </w:p>
        </w:tc>
        <w:tc>
          <w:tcPr>
            <w:tcW w:w="340" w:type="dxa"/>
            <w:vAlign w:val="bottom"/>
            <w:shd w:val="clear" w:color="auto" w:fill="E1E1E1"/>
          </w:tcPr>
          <w:p>
            <w:pPr>
              <w:spacing w:after="0"/>
              <w:rPr>
                <w:sz w:val="21"/>
                <w:szCs w:val="21"/>
                <w:color w:val="auto"/>
              </w:rPr>
            </w:pPr>
          </w:p>
        </w:tc>
      </w:tr>
      <w:tr>
        <w:trPr>
          <w:trHeight w:val="26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1E1E1E"/>
              </w:rPr>
              <w:t>Long-term debt as a percentage of total capitalization</w:t>
            </w:r>
          </w:p>
        </w:tc>
        <w:tc>
          <w:tcPr>
            <w:tcW w:w="34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96.4%</w:t>
            </w:r>
          </w:p>
        </w:tc>
        <w:tc>
          <w:tcPr>
            <w:tcW w:w="18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131.8%</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76" w:lineRule="exact"/>
        <w:rPr>
          <w:sz w:val="20"/>
          <w:szCs w:val="20"/>
          <w:color w:val="auto"/>
        </w:rPr>
      </w:pPr>
    </w:p>
    <w:p>
      <w:pPr>
        <w:ind w:left="480" w:right="380" w:hanging="480"/>
        <w:spacing w:after="0" w:line="272" w:lineRule="auto"/>
        <w:tabs>
          <w:tab w:leader="none" w:pos="480" w:val="left"/>
        </w:tabs>
        <w:numPr>
          <w:ilvl w:val="0"/>
          <w:numId w:val="3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Includes cash and cash equivalents in assets held for sale of $168.4 million and $259.2 million as of December 31, 2025 and 2024, respectively.</w:t>
      </w:r>
    </w:p>
    <w:p>
      <w:pPr>
        <w:spacing w:after="0" w:line="1" w:lineRule="exact"/>
        <w:rPr>
          <w:rFonts w:ascii="Times New Roman" w:cs="Times New Roman" w:eastAsia="Times New Roman" w:hAnsi="Times New Roman"/>
          <w:sz w:val="19"/>
          <w:szCs w:val="19"/>
          <w:color w:val="1E1E1E"/>
        </w:rPr>
      </w:pPr>
    </w:p>
    <w:p>
      <w:pPr>
        <w:ind w:left="480" w:right="40" w:hanging="480"/>
        <w:spacing w:after="0" w:line="260" w:lineRule="auto"/>
        <w:tabs>
          <w:tab w:leader="none" w:pos="480" w:val="left"/>
        </w:tabs>
        <w:numPr>
          <w:ilvl w:val="0"/>
          <w:numId w:val="3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Working capital is net of assets and liabilities held for sale and consists of current assets of $1,471.7 million less current liabilities of $711.6 million as of December 31, 2025 and current assets of $1,148.7 million less current liabilities of $580.4 million as of December 31, 2024.</w:t>
      </w:r>
    </w:p>
    <w:p>
      <w:pPr>
        <w:spacing w:after="0" w:line="4" w:lineRule="exact"/>
        <w:rPr>
          <w:rFonts w:ascii="Times New Roman" w:cs="Times New Roman" w:eastAsia="Times New Roman" w:hAnsi="Times New Roman"/>
          <w:sz w:val="19"/>
          <w:szCs w:val="19"/>
          <w:color w:val="1E1E1E"/>
        </w:rPr>
      </w:pPr>
    </w:p>
    <w:p>
      <w:pPr>
        <w:ind w:left="480" w:right="180" w:hanging="480"/>
        <w:spacing w:after="0" w:line="259" w:lineRule="auto"/>
        <w:tabs>
          <w:tab w:leader="none" w:pos="48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 connection with the sale of the CCS segment that was completed subsequent to fiscal year end on January 9, 2026, on the closing date, we repaid in full all outstanding indebtedness using a portion of the proceeds from the transaction and terminated all outstanding commitments under each of our Revolving Credit Agreement dated as of April 4, 2019.</w:t>
      </w:r>
    </w:p>
    <w:p>
      <w:pPr>
        <w:spacing w:after="0" w:line="5" w:lineRule="exact"/>
        <w:rPr>
          <w:rFonts w:ascii="Times New Roman" w:cs="Times New Roman" w:eastAsia="Times New Roman" w:hAnsi="Times New Roman"/>
          <w:sz w:val="20"/>
          <w:szCs w:val="20"/>
          <w:color w:val="1E1E1E"/>
        </w:rPr>
      </w:pPr>
    </w:p>
    <w:p>
      <w:pPr>
        <w:ind w:left="480" w:right="600" w:hanging="480"/>
        <w:spacing w:after="0" w:line="279" w:lineRule="auto"/>
        <w:tabs>
          <w:tab w:leader="none" w:pos="48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Total capitalization includes long-term debt, including the current portion, Convertible Preferred Stock and stockholders’ deficit.</w:t>
      </w:r>
    </w:p>
    <w:p>
      <w:pPr>
        <w:spacing w:after="0" w:line="165"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20"/>
          <w:szCs w:val="20"/>
          <w:color w:val="1E1E1E"/>
        </w:rPr>
        <w:t>Our principal sources of liquidity on a short-term basis are cash and cash equivalents and cash flows provided by operations. On a long-term basis, our potential sources of liquidity also include raising capital through the issuance of equity and/or debt.</w:t>
      </w:r>
    </w:p>
    <w:p>
      <w:pPr>
        <w:spacing w:after="0" w:line="16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The primary uses of liquidity include working capital requirements, capital expenditures, business separation transaction costs, transformation costs, restructuring costs, litigation settlements, income tax payments and other contractual obligations. In connection with the sale of the CCS segment that was completed subsequent to fiscal year end on January 9, 2026, we repaid and issued notices of full redemption of our then-existing indebtedness and redeemed all of the outstanding shares of the Convertible Preferred Stock. Therefore, the uses of liquidity related to the indebtedness and Convertible Preferred Stock that were outstanding as of December 31, 2025, are no longer relevant.</w:t>
      </w:r>
    </w:p>
    <w:p>
      <w:pPr>
        <w:sectPr>
          <w:pgSz w:w="11880" w:h="15480" w:orient="portrait"/>
          <w:cols w:equalWidth="0" w:num="1">
            <w:col w:w="10800"/>
          </w:cols>
          <w:pgMar w:left="540" w:top="12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44</w:t>
      </w:r>
    </w:p>
    <w:p>
      <w:pPr>
        <w:sectPr>
          <w:pgSz w:w="11880" w:h="15480" w:orient="portrait"/>
          <w:cols w:equalWidth="0" w:num="1">
            <w:col w:w="10800"/>
          </w:cols>
          <w:pgMar w:left="540" w:top="1240" w:right="540" w:bottom="0" w:gutter="0" w:footer="0" w:header="0"/>
          <w:type w:val="continuous"/>
        </w:sectPr>
      </w:pPr>
    </w:p>
    <w:bookmarkStart w:id="54" w:name="page55"/>
    <w:bookmarkEnd w:id="54"/>
    <w:p>
      <w:pPr>
        <w:spacing w:after="0" w:line="244" w:lineRule="auto"/>
        <w:rPr>
          <w:sz w:val="20"/>
          <w:szCs w:val="20"/>
          <w:color w:val="auto"/>
        </w:rPr>
      </w:pPr>
      <w:r>
        <w:rPr>
          <w:rFonts w:ascii="Times New Roman" w:cs="Times New Roman" w:eastAsia="Times New Roman" w:hAnsi="Times New Roman"/>
          <w:sz w:val="20"/>
          <w:szCs w:val="20"/>
          <w:color w:val="1E1E1E"/>
        </w:rPr>
        <w:t>We currently believe that our existing cash, cash equivalents and cash flows from operations will be sufficient to meet our presently anticipated future cash needs. However, we may be required to obtain financing in the future to address our liquidity needs, and, subject to market conditions, we may from time to time seek to amend, refinance, restructure, exchange or repurchase our outstanding indebtedness and/or raise equity or other financing. Any debt we incur in the future may have terms (including cash interest rate, financial covenants and covenants limiting our operating flexibility or ability to obtain financings) that are not favorable to us, and any such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or any future amendment, refinancing, restructuring, exchange or repurchases could have a material and adverse effect on our results of operations, cash flows, financial condition and liquidity.</w:t>
      </w:r>
    </w:p>
    <w:p>
      <w:pPr>
        <w:spacing w:after="0" w:line="20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We may experience volatility in cash flows between periods due to, among other reasons, variability in the timing of vendor payments and customer receipts. We may, from time to time, seek to obtain alternative sources of financing, by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spacing w:after="0" w:line="19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1E1E1E"/>
        </w:rPr>
        <w:t>Our senior notes and senior secured credit facilities that existed as of December 31, 2025, contained certain limitations and covenants based on financial measures similar to non-GAAP adjusted EBITDA as presented in the “Reconciliation of Non-GAAP Measures” section below, but also giving pro forma effect to certain events, including acquisitions, synergies and savings from cost reduction initiatives such as facility closures and headcount reductions. For the year ended December 31, 2025, our non-GAAP pro forma adjusted EBITDA, as measured pursuant to the indentures governing our notes, was $300.8 million, which included annualized savings expected from cost reduction initiatives of $8.8 million so that the impact of cost reduction initiatives is fully reflected in the twelve-month period used in the calculation of the ratios. We believe we were in compliance with the covenants under our then-existing note indentures and senior secured credit facilities at December 31, 2025.</w:t>
      </w:r>
    </w:p>
    <w:p>
      <w:pPr>
        <w:spacing w:after="0" w:line="20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color w:val="1E1E1E"/>
        </w:rPr>
        <w:t>Cash and cash equivalents increased by $259.5 million during 2025 as described under the Cash Flow Overview section below. As of December 31, 2025, approximately 8% of our cash and cash equivalents were held outside the U.S.</w:t>
      </w:r>
    </w:p>
    <w:p>
      <w:pPr>
        <w:spacing w:after="0" w:line="16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Working capital, net of assets and liabilities held for sale and excluding cash and cash equivalents, decreased during 2025 compared to the prior year primarily due to an increase in accounts payable and other accrued liabilities, as well as a reduction in inventory, partially offset by higher accounts receivable due to increased net sales in 2025. During 2025, we sold accounts receivable under customer-sponsored supplier financing agreements. This had an impact of approximately $12 million on working capital, excluding cash and cash equivalents, as of December 31, 2025. Under these agreements, we are able to sell accounts receivable to a bank, and we retain no interest in and have no servicing responsibilities for the accounts receivable sold. The net increase in total capitalization during 2025 reflected the net income for the year.</w:t>
      </w:r>
    </w:p>
    <w:p>
      <w:pPr>
        <w:sectPr>
          <w:pgSz w:w="11880" w:h="15480" w:orient="portrait"/>
          <w:cols w:equalWidth="0" w:num="1">
            <w:col w:w="10780"/>
          </w:cols>
          <w:pgMar w:left="540" w:top="123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45</w:t>
      </w:r>
    </w:p>
    <w:p>
      <w:pPr>
        <w:sectPr>
          <w:pgSz w:w="11880" w:h="15480" w:orient="portrait"/>
          <w:cols w:equalWidth="0" w:num="1">
            <w:col w:w="10780"/>
          </w:cols>
          <w:pgMar w:left="540" w:top="1238" w:right="56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1E1E1E"/>
        </w:rPr>
        <w:t>Cash Flow Overview</w:t>
      </w:r>
    </w:p>
    <w:p>
      <w:pPr>
        <w:spacing w:after="0" w:line="12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1E1E1E"/>
        </w:rPr>
        <w:t>The cash flows related to discontinued operations have not been segregated. Accordingly, the following cash flow overview includes the results of continuing and discontinued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40" w:type="dxa"/>
            <w:vAlign w:val="bottom"/>
          </w:tcPr>
          <w:p>
            <w:pPr>
              <w:spacing w:after="0"/>
              <w:rPr>
                <w:sz w:val="17"/>
                <w:szCs w:val="17"/>
                <w:color w:val="auto"/>
              </w:rPr>
            </w:pP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6"/>
                <w:szCs w:val="16"/>
                <w:b w:val="1"/>
                <w:bCs w:val="1"/>
                <w:color w:val="1E1E1E"/>
              </w:rPr>
              <w:t>$</w:t>
            </w:r>
          </w:p>
        </w:tc>
        <w:tc>
          <w:tcPr>
            <w:tcW w:w="26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1E1E1E"/>
              </w:rPr>
              <w:t>%</w:t>
            </w:r>
          </w:p>
        </w:tc>
        <w:tc>
          <w:tcPr>
            <w:tcW w:w="260" w:type="dxa"/>
            <w:vAlign w:val="bottom"/>
          </w:tcPr>
          <w:p>
            <w:pPr>
              <w:spacing w:after="0"/>
              <w:rPr>
                <w:sz w:val="17"/>
                <w:szCs w:val="17"/>
                <w:color w:val="auto"/>
              </w:rPr>
            </w:pPr>
          </w:p>
        </w:tc>
      </w:tr>
      <w:tr>
        <w:trPr>
          <w:trHeight w:val="193"/>
        </w:trPr>
        <w:tc>
          <w:tcPr>
            <w:tcW w:w="6000" w:type="dxa"/>
            <w:vAlign w:val="bottom"/>
          </w:tcPr>
          <w:p>
            <w:pPr>
              <w:spacing w:after="0"/>
              <w:rPr>
                <w:sz w:val="16"/>
                <w:szCs w:val="16"/>
                <w:color w:val="auto"/>
              </w:rPr>
            </w:pPr>
          </w:p>
        </w:tc>
        <w:tc>
          <w:tcPr>
            <w:tcW w:w="180" w:type="dxa"/>
            <w:vAlign w:val="bottom"/>
            <w:tcBorders>
              <w:top w:val="single" w:sz="8" w:color="1E1E1E"/>
              <w:bottom w:val="single" w:sz="8" w:color="1E1E1E"/>
            </w:tcBorders>
          </w:tcPr>
          <w:p>
            <w:pPr>
              <w:spacing w:after="0"/>
              <w:rPr>
                <w:sz w:val="16"/>
                <w:szCs w:val="16"/>
                <w:color w:val="auto"/>
              </w:rPr>
            </w:pPr>
          </w:p>
        </w:tc>
        <w:tc>
          <w:tcPr>
            <w:tcW w:w="820" w:type="dxa"/>
            <w:vAlign w:val="bottom"/>
            <w:tcBorders>
              <w:top w:val="single" w:sz="8" w:color="1E1E1E"/>
              <w:bottom w:val="single" w:sz="8" w:color="1E1E1E"/>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20" w:type="dxa"/>
            <w:vAlign w:val="bottom"/>
            <w:tcBorders>
              <w:top w:val="single" w:sz="8" w:color="1E1E1E"/>
            </w:tcBorders>
          </w:tcPr>
          <w:p>
            <w:pPr>
              <w:spacing w:after="0"/>
              <w:rPr>
                <w:sz w:val="16"/>
                <w:szCs w:val="16"/>
                <w:color w:val="auto"/>
              </w:rPr>
            </w:pPr>
          </w:p>
        </w:tc>
        <w:tc>
          <w:tcPr>
            <w:tcW w:w="240" w:type="dxa"/>
            <w:vAlign w:val="bottom"/>
            <w:tcBorders>
              <w:top w:val="single" w:sz="8" w:color="1E1E1E"/>
              <w:bottom w:val="single" w:sz="8" w:color="1E1E1E"/>
            </w:tcBorders>
          </w:tcPr>
          <w:p>
            <w:pPr>
              <w:spacing w:after="0"/>
              <w:rPr>
                <w:sz w:val="16"/>
                <w:szCs w:val="16"/>
                <w:color w:val="auto"/>
              </w:rPr>
            </w:pPr>
          </w:p>
        </w:tc>
        <w:tc>
          <w:tcPr>
            <w:tcW w:w="840" w:type="dxa"/>
            <w:vAlign w:val="bottom"/>
            <w:tcBorders>
              <w:top w:val="single" w:sz="8" w:color="1E1E1E"/>
              <w:bottom w:val="single" w:sz="8" w:color="1E1E1E"/>
            </w:tcBorders>
          </w:tcPr>
          <w:p>
            <w:pPr>
              <w:ind w:left="14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40" w:type="dxa"/>
            <w:vAlign w:val="bottom"/>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780" w:type="dxa"/>
            <w:vAlign w:val="bottom"/>
            <w:tcBorders>
              <w:bottom w:val="single" w:sz="8" w:color="1E1E1E"/>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260" w:type="dxa"/>
            <w:vAlign w:val="bottom"/>
          </w:tcPr>
          <w:p>
            <w:pPr>
              <w:spacing w:after="0"/>
              <w:rPr>
                <w:sz w:val="16"/>
                <w:szCs w:val="16"/>
                <w:color w:val="auto"/>
              </w:rPr>
            </w:pPr>
          </w:p>
        </w:tc>
        <w:tc>
          <w:tcPr>
            <w:tcW w:w="720" w:type="dxa"/>
            <w:vAlign w:val="bottom"/>
            <w:tcBorders>
              <w:bottom w:val="single" w:sz="8" w:color="1E1E1E"/>
            </w:tcBorders>
          </w:tcPr>
          <w:p>
            <w:pPr>
              <w:jc w:val="right"/>
              <w:ind w:right="8"/>
              <w:spacing w:after="0"/>
              <w:rPr>
                <w:sz w:val="20"/>
                <w:szCs w:val="20"/>
                <w:color w:val="auto"/>
              </w:rPr>
            </w:pPr>
            <w:r>
              <w:rPr>
                <w:rFonts w:ascii="Times New Roman" w:cs="Times New Roman" w:eastAsia="Times New Roman" w:hAnsi="Times New Roman"/>
                <w:sz w:val="16"/>
                <w:szCs w:val="16"/>
                <w:b w:val="1"/>
                <w:bCs w:val="1"/>
                <w:color w:val="1E1E1E"/>
              </w:rPr>
              <w:t>Change</w:t>
            </w:r>
          </w:p>
        </w:tc>
        <w:tc>
          <w:tcPr>
            <w:tcW w:w="260" w:type="dxa"/>
            <w:vAlign w:val="bottom"/>
          </w:tcPr>
          <w:p>
            <w:pPr>
              <w:spacing w:after="0"/>
              <w:rPr>
                <w:sz w:val="16"/>
                <w:szCs w:val="16"/>
                <w:color w:val="auto"/>
              </w:rPr>
            </w:pPr>
          </w:p>
        </w:tc>
      </w:tr>
      <w:tr>
        <w:trPr>
          <w:trHeight w:val="193"/>
        </w:trPr>
        <w:tc>
          <w:tcPr>
            <w:tcW w:w="6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1E1E1E"/>
                <w:w w:val="97"/>
              </w:rPr>
              <w:t>(dollars in</w:t>
            </w:r>
          </w:p>
        </w:tc>
        <w:tc>
          <w:tcPr>
            <w:tcW w:w="1260" w:type="dxa"/>
            <w:vAlign w:val="bottom"/>
            <w:gridSpan w:val="3"/>
          </w:tcPr>
          <w:p>
            <w:pPr>
              <w:jc w:val="right"/>
              <w:ind w:right="528"/>
              <w:spacing w:after="0"/>
              <w:rPr>
                <w:sz w:val="20"/>
                <w:szCs w:val="20"/>
                <w:color w:val="auto"/>
              </w:rPr>
            </w:pPr>
            <w:r>
              <w:rPr>
                <w:rFonts w:ascii="Times New Roman" w:cs="Times New Roman" w:eastAsia="Times New Roman" w:hAnsi="Times New Roman"/>
                <w:sz w:val="16"/>
                <w:szCs w:val="16"/>
                <w:b w:val="1"/>
                <w:bCs w:val="1"/>
                <w:color w:val="1E1E1E"/>
              </w:rPr>
              <w:t>millions)</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44"/>
        </w:trPr>
        <w:tc>
          <w:tcPr>
            <w:tcW w:w="6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cash generated by operating activities</w:t>
            </w: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322.9</w:t>
            </w:r>
          </w:p>
        </w:tc>
        <w:tc>
          <w:tcPr>
            <w:tcW w:w="220" w:type="dxa"/>
            <w:vAlign w:val="bottom"/>
            <w:shd w:val="clear" w:color="auto" w:fill="E1E1E1"/>
          </w:tcPr>
          <w:p>
            <w:pPr>
              <w:spacing w:after="0"/>
              <w:rPr>
                <w:sz w:val="21"/>
                <w:szCs w:val="21"/>
                <w:color w:val="auto"/>
              </w:rPr>
            </w:pPr>
          </w:p>
        </w:tc>
        <w:tc>
          <w:tcPr>
            <w:tcW w:w="2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273.1</w:t>
            </w:r>
          </w:p>
        </w:tc>
        <w:tc>
          <w:tcPr>
            <w:tcW w:w="340" w:type="dxa"/>
            <w:vAlign w:val="bottom"/>
            <w:shd w:val="clear" w:color="auto" w:fill="E1E1E1"/>
          </w:tcPr>
          <w:p>
            <w:pPr>
              <w:spacing w:after="0"/>
              <w:rPr>
                <w:sz w:val="21"/>
                <w:szCs w:val="21"/>
                <w:color w:val="auto"/>
              </w:rPr>
            </w:pPr>
          </w:p>
        </w:tc>
        <w:tc>
          <w:tcPr>
            <w:tcW w:w="1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49.8</w:t>
            </w:r>
          </w:p>
        </w:tc>
        <w:tc>
          <w:tcPr>
            <w:tcW w:w="26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18.2%</w:t>
            </w:r>
          </w:p>
        </w:tc>
      </w:tr>
      <w:tr>
        <w:trPr>
          <w:trHeight w:val="244"/>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1E1E1E"/>
              </w:rPr>
              <w:t>Net cash generated by (used in) investing activities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1,981.6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(57.2)</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2,038.8</w:t>
            </w:r>
          </w:p>
        </w:tc>
        <w:tc>
          <w:tcPr>
            <w:tcW w:w="26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1E1E1E"/>
              </w:rPr>
              <w:t>NM</w:t>
            </w:r>
          </w:p>
        </w:tc>
      </w:tr>
      <w:tr>
        <w:trPr>
          <w:trHeight w:val="244"/>
        </w:trPr>
        <w:tc>
          <w:tcPr>
            <w:tcW w:w="6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cash used in financing activities</w:t>
            </w:r>
          </w:p>
        </w:tc>
        <w:tc>
          <w:tcPr>
            <w:tcW w:w="180" w:type="dxa"/>
            <w:vAlign w:val="bottom"/>
            <w:shd w:val="clear" w:color="auto" w:fill="E1E1E1"/>
          </w:tcPr>
          <w:p>
            <w:pPr>
              <w:spacing w:after="0"/>
              <w:rPr>
                <w:sz w:val="21"/>
                <w:szCs w:val="21"/>
                <w:color w:val="auto"/>
              </w:rPr>
            </w:pPr>
          </w:p>
        </w:tc>
        <w:tc>
          <w:tcPr>
            <w:tcW w:w="1040" w:type="dxa"/>
            <w:vAlign w:val="bottom"/>
            <w:gridSpan w:val="2"/>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rPr>
              <w:t>(2,053.6)</w:t>
            </w:r>
          </w:p>
        </w:tc>
        <w:tc>
          <w:tcPr>
            <w:tcW w:w="240" w:type="dxa"/>
            <w:vAlign w:val="bottom"/>
            <w:shd w:val="clear" w:color="auto" w:fill="E1E1E1"/>
          </w:tcPr>
          <w:p>
            <w:pPr>
              <w:spacing w:after="0"/>
              <w:rPr>
                <w:sz w:val="21"/>
                <w:szCs w:val="21"/>
                <w:color w:val="auto"/>
              </w:rPr>
            </w:pPr>
          </w:p>
        </w:tc>
        <w:tc>
          <w:tcPr>
            <w:tcW w:w="1180" w:type="dxa"/>
            <w:vAlign w:val="bottom"/>
            <w:gridSpan w:val="2"/>
            <w:shd w:val="clear" w:color="auto" w:fill="E1E1E1"/>
          </w:tcPr>
          <w:p>
            <w:pPr>
              <w:jc w:val="right"/>
              <w:ind w:right="180"/>
              <w:spacing w:after="0"/>
              <w:rPr>
                <w:sz w:val="20"/>
                <w:szCs w:val="20"/>
                <w:color w:val="auto"/>
              </w:rPr>
            </w:pPr>
            <w:r>
              <w:rPr>
                <w:rFonts w:ascii="Times New Roman" w:cs="Times New Roman" w:eastAsia="Times New Roman" w:hAnsi="Times New Roman"/>
                <w:sz w:val="20"/>
                <w:szCs w:val="20"/>
                <w:color w:val="1E1E1E"/>
              </w:rPr>
              <w:t>(83.0)</w:t>
            </w:r>
          </w:p>
        </w:tc>
        <w:tc>
          <w:tcPr>
            <w:tcW w:w="140" w:type="dxa"/>
            <w:vAlign w:val="bottom"/>
            <w:shd w:val="clear" w:color="auto" w:fill="E1E1E1"/>
          </w:tcPr>
          <w:p>
            <w:pPr>
              <w:spacing w:after="0"/>
              <w:rPr>
                <w:sz w:val="21"/>
                <w:szCs w:val="21"/>
                <w:color w:val="auto"/>
              </w:rPr>
            </w:pPr>
          </w:p>
        </w:tc>
        <w:tc>
          <w:tcPr>
            <w:tcW w:w="1040" w:type="dxa"/>
            <w:vAlign w:val="bottom"/>
            <w:gridSpan w:val="2"/>
            <w:shd w:val="clear" w:color="auto" w:fill="E1E1E1"/>
          </w:tcPr>
          <w:p>
            <w:pPr>
              <w:jc w:val="right"/>
              <w:ind w:right="180"/>
              <w:spacing w:after="0"/>
              <w:rPr>
                <w:sz w:val="20"/>
                <w:szCs w:val="20"/>
                <w:color w:val="auto"/>
              </w:rPr>
            </w:pPr>
            <w:r>
              <w:rPr>
                <w:rFonts w:ascii="Times New Roman" w:cs="Times New Roman" w:eastAsia="Times New Roman" w:hAnsi="Times New Roman"/>
                <w:sz w:val="20"/>
                <w:szCs w:val="20"/>
                <w:color w:val="1E1E1E"/>
              </w:rPr>
              <w:t>(1,970.6)</w:t>
            </w:r>
          </w:p>
        </w:tc>
        <w:tc>
          <w:tcPr>
            <w:tcW w:w="98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2,374.2%</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NM - Not Meaningful</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Operating Activities</w:t>
      </w:r>
    </w:p>
    <w:p>
      <w:pPr>
        <w:spacing w:after="0" w:line="14"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1E1E1E"/>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4940935</wp:posOffset>
            </wp:positionH>
            <wp:positionV relativeFrom="paragraph">
              <wp:posOffset>12700</wp:posOffset>
            </wp:positionV>
            <wp:extent cx="186245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1862455" cy="9525"/>
                    </a:xfrm>
                    <a:prstGeom prst="rect">
                      <a:avLst/>
                    </a:prstGeom>
                    <a:noFill/>
                  </pic:spPr>
                </pic:pic>
              </a:graphicData>
            </a:graphic>
          </wp:anchor>
        </w:drawing>
      </w:r>
    </w:p>
    <w:p>
      <w:pPr>
        <w:spacing w:after="0" w:line="9" w:lineRule="exact"/>
        <w:rPr>
          <w:sz w:val="20"/>
          <w:szCs w:val="20"/>
          <w:color w:val="auto"/>
        </w:rPr>
      </w:pPr>
    </w:p>
    <w:p>
      <w:pPr>
        <w:ind w:left="8260"/>
        <w:spacing w:after="0"/>
        <w:tabs>
          <w:tab w:leader="none" w:pos="9840" w:val="left"/>
        </w:tabs>
        <w:rPr>
          <w:sz w:val="20"/>
          <w:szCs w:val="20"/>
          <w:color w:val="auto"/>
        </w:rPr>
      </w:pPr>
      <w:r>
        <w:rPr>
          <w:rFonts w:ascii="Times New Roman" w:cs="Times New Roman" w:eastAsia="Times New Roman" w:hAnsi="Times New Roman"/>
          <w:sz w:val="16"/>
          <w:szCs w:val="16"/>
          <w:b w:val="1"/>
          <w:bCs w:val="1"/>
          <w:color w:val="1E1E1E"/>
        </w:rPr>
        <w:t>2025</w:t>
      </w:r>
      <w:r>
        <w:rPr>
          <w:sz w:val="20"/>
          <w:szCs w:val="20"/>
          <w:color w:val="auto"/>
        </w:rPr>
        <w:tab/>
      </w:r>
      <w:r>
        <w:rPr>
          <w:rFonts w:ascii="Times New Roman" w:cs="Times New Roman" w:eastAsia="Times New Roman" w:hAnsi="Times New Roman"/>
          <w:sz w:val="16"/>
          <w:szCs w:val="16"/>
          <w:b w:val="1"/>
          <w:bCs w:val="1"/>
          <w:color w:val="1E1E1E"/>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4940935</wp:posOffset>
            </wp:positionH>
            <wp:positionV relativeFrom="paragraph">
              <wp:posOffset>12700</wp:posOffset>
            </wp:positionV>
            <wp:extent cx="186245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1862455" cy="9525"/>
                    </a:xfrm>
                    <a:prstGeom prst="rect">
                      <a:avLst/>
                    </a:prstGeom>
                    <a:noFill/>
                  </pic:spPr>
                </pic:pic>
              </a:graphicData>
            </a:graphic>
          </wp:anchor>
        </w:drawing>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1E1E1E"/>
        </w:rPr>
        <w:t>(in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78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Net income (loss)</w:t>
            </w:r>
          </w:p>
        </w:tc>
        <w:tc>
          <w:tcPr>
            <w:tcW w:w="360" w:type="dxa"/>
            <w:vAlign w:val="bottom"/>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2,283.7</w:t>
            </w:r>
          </w:p>
        </w:tc>
        <w:tc>
          <w:tcPr>
            <w:tcW w:w="160" w:type="dxa"/>
            <w:vAlign w:val="bottom"/>
            <w:shd w:val="clear" w:color="auto" w:fill="E1E1E1"/>
          </w:tcPr>
          <w:p>
            <w:pPr>
              <w:spacing w:after="0"/>
              <w:rPr>
                <w:sz w:val="21"/>
                <w:szCs w:val="21"/>
                <w:color w:val="auto"/>
              </w:rPr>
            </w:pPr>
          </w:p>
        </w:tc>
        <w:tc>
          <w:tcPr>
            <w:tcW w:w="580" w:type="dxa"/>
            <w:vAlign w:val="bottom"/>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(315.5)</w:t>
            </w:r>
          </w:p>
        </w:tc>
      </w:tr>
      <w:tr>
        <w:trPr>
          <w:trHeight w:val="244"/>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1E1E1E"/>
              </w:rPr>
              <w:t>Adjustments to reconcile net income (loss) to net cash generated by operating activities: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7780" w:type="dxa"/>
            <w:vAlign w:val="bottom"/>
            <w:shd w:val="clear" w:color="auto" w:fill="E1E1E1"/>
          </w:tcPr>
          <w:p>
            <w:pPr>
              <w:ind w:left="4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360" w:type="dxa"/>
            <w:vAlign w:val="bottom"/>
            <w:shd w:val="clear" w:color="auto" w:fill="E1E1E1"/>
          </w:tcPr>
          <w:p>
            <w:pPr>
              <w:spacing w:after="0"/>
              <w:rPr>
                <w:sz w:val="21"/>
                <w:szCs w:val="21"/>
                <w:color w:val="auto"/>
              </w:rPr>
            </w:pPr>
          </w:p>
        </w:tc>
        <w:tc>
          <w:tcPr>
            <w:tcW w:w="9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277.0</w:t>
            </w:r>
          </w:p>
        </w:tc>
        <w:tc>
          <w:tcPr>
            <w:tcW w:w="1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46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370.5</w:t>
            </w:r>
          </w:p>
        </w:tc>
        <w:tc>
          <w:tcPr>
            <w:tcW w:w="80" w:type="dxa"/>
            <w:vAlign w:val="bottom"/>
            <w:shd w:val="clear" w:color="auto" w:fill="E1E1E1"/>
          </w:tcPr>
          <w:p>
            <w:pPr>
              <w:spacing w:after="0"/>
              <w:rPr>
                <w:sz w:val="21"/>
                <w:szCs w:val="21"/>
                <w:color w:val="auto"/>
              </w:rPr>
            </w:pPr>
          </w:p>
        </w:tc>
      </w:tr>
      <w:tr>
        <w:trPr>
          <w:trHeight w:val="244"/>
        </w:trPr>
        <w:tc>
          <w:tcPr>
            <w:tcW w:w="7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29.1</w:t>
            </w:r>
          </w:p>
        </w:tc>
        <w:tc>
          <w:tcPr>
            <w:tcW w:w="80" w:type="dxa"/>
            <w:vAlign w:val="bottom"/>
          </w:tcPr>
          <w:p>
            <w:pPr>
              <w:spacing w:after="0"/>
              <w:rPr>
                <w:sz w:val="21"/>
                <w:szCs w:val="21"/>
                <w:color w:val="auto"/>
              </w:rPr>
            </w:pPr>
          </w:p>
        </w:tc>
      </w:tr>
      <w:tr>
        <w:trPr>
          <w:trHeight w:val="244"/>
        </w:trPr>
        <w:tc>
          <w:tcPr>
            <w:tcW w:w="7780" w:type="dxa"/>
            <w:vAlign w:val="bottom"/>
            <w:shd w:val="clear" w:color="auto" w:fill="E1E1E1"/>
          </w:tcPr>
          <w:p>
            <w:pPr>
              <w:ind w:left="400"/>
              <w:spacing w:after="0"/>
              <w:rPr>
                <w:sz w:val="20"/>
                <w:szCs w:val="20"/>
                <w:color w:val="auto"/>
              </w:rPr>
            </w:pPr>
            <w:r>
              <w:rPr>
                <w:rFonts w:ascii="Times New Roman" w:cs="Times New Roman" w:eastAsia="Times New Roman" w:hAnsi="Times New Roman"/>
                <w:sz w:val="20"/>
                <w:szCs w:val="20"/>
                <w:color w:val="1E1E1E"/>
              </w:rPr>
              <w:t>Deferred income taxes</w:t>
            </w:r>
          </w:p>
        </w:tc>
        <w:tc>
          <w:tcPr>
            <w:tcW w:w="36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(1,350.4)</w:t>
            </w:r>
          </w:p>
        </w:tc>
        <w:tc>
          <w:tcPr>
            <w:tcW w:w="120" w:type="dxa"/>
            <w:vAlign w:val="bottom"/>
            <w:shd w:val="clear" w:color="auto" w:fill="E1E1E1"/>
          </w:tcPr>
          <w:p>
            <w:pPr>
              <w:spacing w:after="0"/>
              <w:rPr>
                <w:sz w:val="21"/>
                <w:szCs w:val="21"/>
                <w:color w:val="auto"/>
              </w:rPr>
            </w:pPr>
          </w:p>
        </w:tc>
        <w:tc>
          <w:tcPr>
            <w:tcW w:w="46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65.0</w:t>
            </w:r>
          </w:p>
        </w:tc>
        <w:tc>
          <w:tcPr>
            <w:tcW w:w="80" w:type="dxa"/>
            <w:vAlign w:val="bottom"/>
            <w:shd w:val="clear" w:color="auto" w:fill="E1E1E1"/>
          </w:tcPr>
          <w:p>
            <w:pPr>
              <w:spacing w:after="0"/>
              <w:rPr>
                <w:sz w:val="21"/>
                <w:szCs w:val="21"/>
                <w:color w:val="auto"/>
              </w:rPr>
            </w:pPr>
          </w:p>
        </w:tc>
      </w:tr>
      <w:tr>
        <w:trPr>
          <w:trHeight w:val="244"/>
        </w:trPr>
        <w:tc>
          <w:tcPr>
            <w:tcW w:w="7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Asset impairments</w:t>
            </w:r>
          </w:p>
        </w:tc>
        <w:tc>
          <w:tcPr>
            <w:tcW w:w="3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19.2</w:t>
            </w:r>
          </w:p>
        </w:tc>
        <w:tc>
          <w:tcPr>
            <w:tcW w:w="80" w:type="dxa"/>
            <w:vAlign w:val="bottom"/>
          </w:tcPr>
          <w:p>
            <w:pPr>
              <w:spacing w:after="0"/>
              <w:rPr>
                <w:sz w:val="21"/>
                <w:szCs w:val="21"/>
                <w:color w:val="auto"/>
              </w:rPr>
            </w:pPr>
          </w:p>
        </w:tc>
      </w:tr>
      <w:tr>
        <w:trPr>
          <w:trHeight w:val="244"/>
        </w:trPr>
        <w:tc>
          <w:tcPr>
            <w:tcW w:w="7780" w:type="dxa"/>
            <w:vAlign w:val="bottom"/>
            <w:shd w:val="clear" w:color="auto" w:fill="E1E1E1"/>
          </w:tcPr>
          <w:p>
            <w:pPr>
              <w:ind w:left="400"/>
              <w:spacing w:after="0"/>
              <w:rPr>
                <w:sz w:val="20"/>
                <w:szCs w:val="20"/>
                <w:color w:val="auto"/>
              </w:rPr>
            </w:pPr>
            <w:r>
              <w:rPr>
                <w:rFonts w:ascii="Times New Roman" w:cs="Times New Roman" w:eastAsia="Times New Roman" w:hAnsi="Times New Roman"/>
                <w:sz w:val="20"/>
                <w:szCs w:val="20"/>
                <w:color w:val="1E1E1E"/>
              </w:rPr>
              <w:t>(Gain) loss on disposal of discontinued operations</w:t>
            </w:r>
          </w:p>
        </w:tc>
        <w:tc>
          <w:tcPr>
            <w:tcW w:w="36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(869.0)</w:t>
            </w:r>
          </w:p>
        </w:tc>
        <w:tc>
          <w:tcPr>
            <w:tcW w:w="120" w:type="dxa"/>
            <w:vAlign w:val="bottom"/>
            <w:shd w:val="clear" w:color="auto" w:fill="E1E1E1"/>
          </w:tcPr>
          <w:p>
            <w:pPr>
              <w:spacing w:after="0"/>
              <w:rPr>
                <w:sz w:val="21"/>
                <w:szCs w:val="21"/>
                <w:color w:val="auto"/>
              </w:rPr>
            </w:pPr>
          </w:p>
        </w:tc>
        <w:tc>
          <w:tcPr>
            <w:tcW w:w="46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27.9</w:t>
            </w:r>
          </w:p>
        </w:tc>
        <w:tc>
          <w:tcPr>
            <w:tcW w:w="80" w:type="dxa"/>
            <w:vAlign w:val="bottom"/>
            <w:shd w:val="clear" w:color="auto" w:fill="E1E1E1"/>
          </w:tcPr>
          <w:p>
            <w:pPr>
              <w:spacing w:after="0"/>
              <w:rPr>
                <w:sz w:val="21"/>
                <w:szCs w:val="21"/>
                <w:color w:val="auto"/>
              </w:rPr>
            </w:pPr>
          </w:p>
        </w:tc>
      </w:tr>
      <w:tr>
        <w:trPr>
          <w:trHeight w:val="244"/>
        </w:trPr>
        <w:tc>
          <w:tcPr>
            <w:tcW w:w="7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Changes in assets and liabilities: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7780" w:type="dxa"/>
            <w:vAlign w:val="bottom"/>
            <w:shd w:val="clear" w:color="auto" w:fill="E1E1E1"/>
          </w:tcPr>
          <w:p>
            <w:pPr>
              <w:ind w:left="600"/>
              <w:spacing w:after="0"/>
              <w:rPr>
                <w:sz w:val="20"/>
                <w:szCs w:val="20"/>
                <w:color w:val="auto"/>
              </w:rPr>
            </w:pPr>
            <w:r>
              <w:rPr>
                <w:rFonts w:ascii="Times New Roman" w:cs="Times New Roman" w:eastAsia="Times New Roman" w:hAnsi="Times New Roman"/>
                <w:sz w:val="20"/>
                <w:szCs w:val="20"/>
                <w:color w:val="1E1E1E"/>
              </w:rPr>
              <w:t>Accounts receivable</w:t>
            </w:r>
          </w:p>
        </w:tc>
        <w:tc>
          <w:tcPr>
            <w:tcW w:w="36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(281.3)</w:t>
            </w:r>
          </w:p>
        </w:tc>
        <w:tc>
          <w:tcPr>
            <w:tcW w:w="120" w:type="dxa"/>
            <w:vAlign w:val="bottom"/>
            <w:shd w:val="clear" w:color="auto" w:fill="E1E1E1"/>
          </w:tcPr>
          <w:p>
            <w:pPr>
              <w:spacing w:after="0"/>
              <w:rPr>
                <w:sz w:val="21"/>
                <w:szCs w:val="21"/>
                <w:color w:val="auto"/>
              </w:rPr>
            </w:pPr>
          </w:p>
        </w:tc>
        <w:tc>
          <w:tcPr>
            <w:tcW w:w="46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(137.6)</w:t>
            </w:r>
          </w:p>
        </w:tc>
      </w:tr>
      <w:tr>
        <w:trPr>
          <w:trHeight w:val="244"/>
        </w:trPr>
        <w:tc>
          <w:tcPr>
            <w:tcW w:w="778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Inventories</w:t>
            </w: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(92.0)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152.5</w:t>
            </w:r>
          </w:p>
        </w:tc>
        <w:tc>
          <w:tcPr>
            <w:tcW w:w="80" w:type="dxa"/>
            <w:vAlign w:val="bottom"/>
          </w:tcPr>
          <w:p>
            <w:pPr>
              <w:spacing w:after="0"/>
              <w:rPr>
                <w:sz w:val="21"/>
                <w:szCs w:val="21"/>
                <w:color w:val="auto"/>
              </w:rPr>
            </w:pPr>
          </w:p>
        </w:tc>
      </w:tr>
      <w:tr>
        <w:trPr>
          <w:trHeight w:val="244"/>
        </w:trPr>
        <w:tc>
          <w:tcPr>
            <w:tcW w:w="7780" w:type="dxa"/>
            <w:vAlign w:val="bottom"/>
            <w:shd w:val="clear" w:color="auto" w:fill="E1E1E1"/>
          </w:tcPr>
          <w:p>
            <w:pPr>
              <w:ind w:left="600"/>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360" w:type="dxa"/>
            <w:vAlign w:val="bottom"/>
            <w:shd w:val="clear" w:color="auto" w:fill="E1E1E1"/>
          </w:tcPr>
          <w:p>
            <w:pPr>
              <w:spacing w:after="0"/>
              <w:rPr>
                <w:sz w:val="21"/>
                <w:szCs w:val="21"/>
                <w:color w:val="auto"/>
              </w:rPr>
            </w:pPr>
          </w:p>
        </w:tc>
        <w:tc>
          <w:tcPr>
            <w:tcW w:w="9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9.2</w:t>
            </w:r>
          </w:p>
        </w:tc>
        <w:tc>
          <w:tcPr>
            <w:tcW w:w="1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46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(55.9)</w:t>
            </w:r>
          </w:p>
        </w:tc>
      </w:tr>
      <w:tr>
        <w:trPr>
          <w:trHeight w:val="244"/>
        </w:trPr>
        <w:tc>
          <w:tcPr>
            <w:tcW w:w="778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Accounts payable and other accrued liabilities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325.7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143.5</w:t>
            </w:r>
          </w:p>
        </w:tc>
        <w:tc>
          <w:tcPr>
            <w:tcW w:w="80" w:type="dxa"/>
            <w:vAlign w:val="bottom"/>
          </w:tcPr>
          <w:p>
            <w:pPr>
              <w:spacing w:after="0"/>
              <w:rPr>
                <w:sz w:val="21"/>
                <w:szCs w:val="21"/>
                <w:color w:val="auto"/>
              </w:rPr>
            </w:pPr>
          </w:p>
        </w:tc>
      </w:tr>
      <w:tr>
        <w:trPr>
          <w:trHeight w:val="244"/>
        </w:trPr>
        <w:tc>
          <w:tcPr>
            <w:tcW w:w="7780" w:type="dxa"/>
            <w:vAlign w:val="bottom"/>
            <w:shd w:val="clear" w:color="auto" w:fill="E1E1E1"/>
          </w:tcPr>
          <w:p>
            <w:pPr>
              <w:ind w:left="600"/>
              <w:spacing w:after="0"/>
              <w:rPr>
                <w:sz w:val="20"/>
                <w:szCs w:val="20"/>
                <w:color w:val="auto"/>
              </w:rPr>
            </w:pPr>
            <w:r>
              <w:rPr>
                <w:rFonts w:ascii="Times New Roman" w:cs="Times New Roman" w:eastAsia="Times New Roman" w:hAnsi="Times New Roman"/>
                <w:sz w:val="20"/>
                <w:szCs w:val="20"/>
                <w:color w:val="1E1E1E"/>
              </w:rPr>
              <w:t>Other noncurrent assets</w:t>
            </w:r>
          </w:p>
        </w:tc>
        <w:tc>
          <w:tcPr>
            <w:tcW w:w="36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(49.0)</w:t>
            </w:r>
          </w:p>
        </w:tc>
        <w:tc>
          <w:tcPr>
            <w:tcW w:w="120" w:type="dxa"/>
            <w:vAlign w:val="bottom"/>
            <w:shd w:val="clear" w:color="auto" w:fill="E1E1E1"/>
          </w:tcPr>
          <w:p>
            <w:pPr>
              <w:spacing w:after="0"/>
              <w:rPr>
                <w:sz w:val="21"/>
                <w:szCs w:val="21"/>
                <w:color w:val="auto"/>
              </w:rPr>
            </w:pPr>
          </w:p>
        </w:tc>
        <w:tc>
          <w:tcPr>
            <w:tcW w:w="46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(20.6)</w:t>
            </w:r>
          </w:p>
        </w:tc>
      </w:tr>
      <w:tr>
        <w:trPr>
          <w:trHeight w:val="244"/>
        </w:trPr>
        <w:tc>
          <w:tcPr>
            <w:tcW w:w="778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Other noncurrent liabilities</w:t>
            </w: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(37.8)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(18.1)</w:t>
            </w:r>
          </w:p>
        </w:tc>
      </w:tr>
      <w:tr>
        <w:trPr>
          <w:trHeight w:val="244"/>
        </w:trPr>
        <w:tc>
          <w:tcPr>
            <w:tcW w:w="7780" w:type="dxa"/>
            <w:vAlign w:val="bottom"/>
            <w:shd w:val="clear" w:color="auto" w:fill="E1E1E1"/>
          </w:tcPr>
          <w:p>
            <w:pPr>
              <w:ind w:left="400"/>
              <w:spacing w:after="0"/>
              <w:rPr>
                <w:sz w:val="20"/>
                <w:szCs w:val="20"/>
                <w:color w:val="auto"/>
              </w:rPr>
            </w:pPr>
            <w:r>
              <w:rPr>
                <w:rFonts w:ascii="Times New Roman" w:cs="Times New Roman" w:eastAsia="Times New Roman" w:hAnsi="Times New Roman"/>
                <w:sz w:val="20"/>
                <w:szCs w:val="20"/>
                <w:color w:val="1E1E1E"/>
              </w:rPr>
              <w:t>Other</w:t>
            </w:r>
          </w:p>
        </w:tc>
        <w:tc>
          <w:tcPr>
            <w:tcW w:w="360" w:type="dxa"/>
            <w:vAlign w:val="bottom"/>
            <w:tcBorders>
              <w:bottom w:val="single" w:sz="8" w:color="1E1E1E"/>
            </w:tcBorders>
            <w:shd w:val="clear" w:color="auto" w:fill="E1E1E1"/>
          </w:tcPr>
          <w:p>
            <w:pPr>
              <w:spacing w:after="0"/>
              <w:rPr>
                <w:sz w:val="21"/>
                <w:szCs w:val="21"/>
                <w:color w:val="auto"/>
              </w:rPr>
            </w:pPr>
          </w:p>
        </w:tc>
        <w:tc>
          <w:tcPr>
            <w:tcW w:w="9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64.1</w:t>
            </w:r>
          </w:p>
        </w:tc>
        <w:tc>
          <w:tcPr>
            <w:tcW w:w="1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460" w:type="dxa"/>
            <w:vAlign w:val="bottom"/>
            <w:tcBorders>
              <w:bottom w:val="single" w:sz="8" w:color="1E1E1E"/>
            </w:tcBorders>
            <w:shd w:val="clear" w:color="auto" w:fill="E1E1E1"/>
          </w:tcPr>
          <w:p>
            <w:pPr>
              <w:spacing w:after="0"/>
              <w:rPr>
                <w:sz w:val="21"/>
                <w:szCs w:val="21"/>
                <w:color w:val="auto"/>
              </w:rPr>
            </w:pPr>
          </w:p>
        </w:tc>
        <w:tc>
          <w:tcPr>
            <w:tcW w:w="9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13.1</w:t>
            </w:r>
          </w:p>
        </w:tc>
        <w:tc>
          <w:tcPr>
            <w:tcW w:w="80" w:type="dxa"/>
            <w:vAlign w:val="bottom"/>
            <w:shd w:val="clear" w:color="auto" w:fill="E1E1E1"/>
          </w:tcPr>
          <w:p>
            <w:pPr>
              <w:spacing w:after="0"/>
              <w:rPr>
                <w:sz w:val="21"/>
                <w:szCs w:val="21"/>
                <w:color w:val="auto"/>
              </w:rPr>
            </w:pPr>
          </w:p>
        </w:tc>
      </w:tr>
      <w:tr>
        <w:trPr>
          <w:trHeight w:val="239"/>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1E1E1E"/>
              </w:rPr>
              <w:t>Net cash generated by operating activities</w:t>
            </w:r>
          </w:p>
        </w:tc>
        <w:tc>
          <w:tcPr>
            <w:tcW w:w="360" w:type="dxa"/>
            <w:vAlign w:val="bottom"/>
            <w:tcBorders>
              <w:bottom w:val="single" w:sz="8" w:color="1E1E1E"/>
            </w:tcBorders>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1E1E1E"/>
            </w:tcBorders>
          </w:tcPr>
          <w:p>
            <w:pPr>
              <w:jc w:val="right"/>
              <w:ind w:right="260"/>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273.1</w:t>
            </w:r>
          </w:p>
        </w:tc>
        <w:tc>
          <w:tcPr>
            <w:tcW w:w="8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1E1E1E"/>
        </w:rPr>
        <w:t>During 2025, the increase in net cash generated by operating activities compared to the prior year was primarily driven by improved operating performance and lower cash interest paid, partially offset by additional investment in working capital and higher cash taxes paid in the current year compared to the prior year. For information on significant non-cash operating activities related to our discontinued operations, see Note 4 in the Notes to Consolidated Financial Statements included elsewhere in this Annual Report on Form 10-K.</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Investing Activities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2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r>
      <w:tr>
        <w:trPr>
          <w:trHeight w:val="193"/>
        </w:trPr>
        <w:tc>
          <w:tcPr>
            <w:tcW w:w="7780" w:type="dxa"/>
            <w:vAlign w:val="bottom"/>
          </w:tcPr>
          <w:p>
            <w:pPr>
              <w:spacing w:after="0"/>
              <w:rPr>
                <w:sz w:val="16"/>
                <w:szCs w:val="16"/>
                <w:color w:val="auto"/>
              </w:rPr>
            </w:pPr>
          </w:p>
        </w:tc>
        <w:tc>
          <w:tcPr>
            <w:tcW w:w="300" w:type="dxa"/>
            <w:vAlign w:val="bottom"/>
            <w:tcBorders>
              <w:top w:val="single" w:sz="8" w:color="1E1E1E"/>
              <w:bottom w:val="single" w:sz="8" w:color="1E1E1E"/>
            </w:tcBorders>
          </w:tcPr>
          <w:p>
            <w:pPr>
              <w:spacing w:after="0"/>
              <w:rPr>
                <w:sz w:val="16"/>
                <w:szCs w:val="16"/>
                <w:color w:val="auto"/>
              </w:rPr>
            </w:pPr>
          </w:p>
        </w:tc>
        <w:tc>
          <w:tcPr>
            <w:tcW w:w="1000" w:type="dxa"/>
            <w:vAlign w:val="bottom"/>
            <w:tcBorders>
              <w:top w:val="single" w:sz="8" w:color="1E1E1E"/>
              <w:bottom w:val="single" w:sz="8" w:color="1E1E1E"/>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60" w:type="dxa"/>
            <w:vAlign w:val="bottom"/>
            <w:tcBorders>
              <w:top w:val="single" w:sz="8" w:color="1E1E1E"/>
            </w:tcBorders>
          </w:tcPr>
          <w:p>
            <w:pPr>
              <w:spacing w:after="0"/>
              <w:rPr>
                <w:sz w:val="16"/>
                <w:szCs w:val="16"/>
                <w:color w:val="auto"/>
              </w:rPr>
            </w:pPr>
          </w:p>
        </w:tc>
        <w:tc>
          <w:tcPr>
            <w:tcW w:w="120" w:type="dxa"/>
            <w:vAlign w:val="bottom"/>
            <w:tcBorders>
              <w:top w:val="single" w:sz="8" w:color="1E1E1E"/>
            </w:tcBorders>
          </w:tcPr>
          <w:p>
            <w:pPr>
              <w:spacing w:after="0"/>
              <w:rPr>
                <w:sz w:val="16"/>
                <w:szCs w:val="16"/>
                <w:color w:val="auto"/>
              </w:rPr>
            </w:pPr>
          </w:p>
        </w:tc>
        <w:tc>
          <w:tcPr>
            <w:tcW w:w="400" w:type="dxa"/>
            <w:vAlign w:val="bottom"/>
            <w:tcBorders>
              <w:top w:val="single" w:sz="8" w:color="1E1E1E"/>
              <w:bottom w:val="single" w:sz="8" w:color="1E1E1E"/>
            </w:tcBorders>
          </w:tcPr>
          <w:p>
            <w:pPr>
              <w:spacing w:after="0"/>
              <w:rPr>
                <w:sz w:val="16"/>
                <w:szCs w:val="16"/>
                <w:color w:val="auto"/>
              </w:rPr>
            </w:pPr>
          </w:p>
        </w:tc>
        <w:tc>
          <w:tcPr>
            <w:tcW w:w="960" w:type="dxa"/>
            <w:vAlign w:val="bottom"/>
            <w:tcBorders>
              <w:top w:val="single" w:sz="8" w:color="1E1E1E"/>
              <w:bottom w:val="single" w:sz="8" w:color="1E1E1E"/>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Pr>
          <w:p>
            <w:pPr>
              <w:spacing w:after="0"/>
              <w:rPr>
                <w:sz w:val="16"/>
                <w:szCs w:val="16"/>
                <w:color w:val="auto"/>
              </w:rPr>
            </w:pPr>
          </w:p>
        </w:tc>
      </w:tr>
      <w:tr>
        <w:trPr>
          <w:trHeight w:val="193"/>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1E1E1E"/>
                <w:w w:val="93"/>
              </w:rPr>
              <w:t>millions)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778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Additions to property, plant and equipment</w:t>
            </w:r>
          </w:p>
        </w:tc>
        <w:tc>
          <w:tcPr>
            <w:tcW w:w="300" w:type="dxa"/>
            <w:vAlign w:val="bottom"/>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(70.3)</w:t>
            </w:r>
          </w:p>
        </w:tc>
        <w:tc>
          <w:tcPr>
            <w:tcW w:w="52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(25.3)</w:t>
            </w:r>
          </w:p>
        </w:tc>
      </w:tr>
      <w:tr>
        <w:trPr>
          <w:trHeight w:val="244"/>
        </w:trPr>
        <w:tc>
          <w:tcPr>
            <w:tcW w:w="7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Proceeds from sale of property, plant and equipment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0.2</w:t>
            </w:r>
          </w:p>
        </w:tc>
        <w:tc>
          <w:tcPr>
            <w:tcW w:w="80" w:type="dxa"/>
            <w:vAlign w:val="bottom"/>
          </w:tcPr>
          <w:p>
            <w:pPr>
              <w:spacing w:after="0"/>
              <w:rPr>
                <w:sz w:val="21"/>
                <w:szCs w:val="21"/>
                <w:color w:val="auto"/>
              </w:rPr>
            </w:pPr>
          </w:p>
        </w:tc>
      </w:tr>
      <w:tr>
        <w:trPr>
          <w:trHeight w:val="244"/>
        </w:trPr>
        <w:tc>
          <w:tcPr>
            <w:tcW w:w="778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Net proceeds from divestitures</w:t>
            </w:r>
          </w:p>
        </w:tc>
        <w:tc>
          <w:tcPr>
            <w:tcW w:w="300" w:type="dxa"/>
            <w:vAlign w:val="bottom"/>
            <w:shd w:val="clear" w:color="auto" w:fill="E1E1E1"/>
          </w:tcPr>
          <w:p>
            <w:pPr>
              <w:spacing w:after="0"/>
              <w:rPr>
                <w:sz w:val="21"/>
                <w:szCs w:val="21"/>
                <w:color w:val="auto"/>
              </w:rPr>
            </w:pPr>
          </w:p>
        </w:tc>
        <w:tc>
          <w:tcPr>
            <w:tcW w:w="10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2,041.9</w:t>
            </w:r>
          </w:p>
        </w:tc>
        <w:tc>
          <w:tcPr>
            <w:tcW w:w="1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400" w:type="dxa"/>
            <w:vAlign w:val="bottom"/>
            <w:shd w:val="clear" w:color="auto" w:fill="E1E1E1"/>
          </w:tcPr>
          <w:p>
            <w:pPr>
              <w:spacing w:after="0"/>
              <w:rPr>
                <w:sz w:val="21"/>
                <w:szCs w:val="21"/>
                <w:color w:val="auto"/>
              </w:rPr>
            </w:pPr>
          </w:p>
        </w:tc>
        <w:tc>
          <w:tcPr>
            <w:tcW w:w="104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7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Acquisition of a business</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(45.1)</w:t>
            </w:r>
          </w:p>
        </w:tc>
      </w:tr>
      <w:tr>
        <w:trPr>
          <w:trHeight w:val="244"/>
        </w:trPr>
        <w:tc>
          <w:tcPr>
            <w:tcW w:w="778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300" w:type="dxa"/>
            <w:vAlign w:val="bottom"/>
            <w:tcBorders>
              <w:bottom w:val="single" w:sz="8" w:color="1E1E1E"/>
            </w:tcBorders>
            <w:shd w:val="clear" w:color="auto" w:fill="E1E1E1"/>
          </w:tcPr>
          <w:p>
            <w:pPr>
              <w:spacing w:after="0"/>
              <w:rPr>
                <w:sz w:val="21"/>
                <w:szCs w:val="21"/>
                <w:color w:val="auto"/>
              </w:rPr>
            </w:pPr>
          </w:p>
        </w:tc>
        <w:tc>
          <w:tcPr>
            <w:tcW w:w="10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400" w:type="dxa"/>
            <w:vAlign w:val="bottom"/>
            <w:tcBorders>
              <w:bottom w:val="single" w:sz="8" w:color="1E1E1E"/>
            </w:tcBorders>
            <w:shd w:val="clear" w:color="auto" w:fill="E1E1E1"/>
          </w:tcPr>
          <w:p>
            <w:pPr>
              <w:spacing w:after="0"/>
              <w:rPr>
                <w:sz w:val="21"/>
                <w:szCs w:val="21"/>
                <w:color w:val="auto"/>
              </w:rPr>
            </w:pPr>
          </w:p>
        </w:tc>
        <w:tc>
          <w:tcPr>
            <w:tcW w:w="9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13.0</w:t>
            </w:r>
          </w:p>
        </w:tc>
        <w:tc>
          <w:tcPr>
            <w:tcW w:w="80" w:type="dxa"/>
            <w:vAlign w:val="bottom"/>
            <w:shd w:val="clear" w:color="auto" w:fill="E1E1E1"/>
          </w:tcPr>
          <w:p>
            <w:pPr>
              <w:spacing w:after="0"/>
              <w:rPr>
                <w:sz w:val="21"/>
                <w:szCs w:val="21"/>
                <w:color w:val="auto"/>
              </w:rPr>
            </w:pPr>
          </w:p>
        </w:tc>
      </w:tr>
      <w:tr>
        <w:trPr>
          <w:trHeight w:val="239"/>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1E1E1E"/>
              </w:rPr>
              <w:t>Net cash generated by (used in) investing activities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1,981.6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(57.2)</w:t>
            </w:r>
          </w:p>
        </w:tc>
      </w:tr>
      <w:tr>
        <w:trPr>
          <w:trHeight w:val="20"/>
        </w:trPr>
        <w:tc>
          <w:tcPr>
            <w:tcW w:w="778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1E1E1E"/>
              <w:bottom w:val="single" w:sz="8" w:color="1E1E1E"/>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46</w:t>
      </w:r>
    </w:p>
    <w:p>
      <w:pPr>
        <w:sectPr>
          <w:pgSz w:w="11880" w:h="15480" w:orient="portrait"/>
          <w:cols w:equalWidth="0" w:num="1">
            <w:col w:w="10800"/>
          </w:cols>
          <w:pgMar w:left="540" w:top="1235" w:right="540" w:bottom="0" w:gutter="0" w:footer="0" w:header="0"/>
          <w:type w:val="continuous"/>
        </w:sectPr>
      </w:pPr>
    </w:p>
    <w:bookmarkStart w:id="56" w:name="page57"/>
    <w:bookmarkEnd w:id="56"/>
    <w:p>
      <w:pPr>
        <w:spacing w:after="0" w:line="249" w:lineRule="auto"/>
        <w:rPr>
          <w:sz w:val="20"/>
          <w:szCs w:val="20"/>
          <w:color w:val="auto"/>
        </w:rPr>
      </w:pPr>
      <w:r>
        <w:rPr>
          <w:rFonts w:ascii="Times New Roman" w:cs="Times New Roman" w:eastAsia="Times New Roman" w:hAnsi="Times New Roman"/>
          <w:sz w:val="20"/>
          <w:szCs w:val="20"/>
          <w:color w:val="1E1E1E"/>
        </w:rPr>
        <w:t>During 2025, the increase in net cash generated by investing activities compared to the prior year was primarily driven by net proceeds of $2,034.5 million related to the sale of the OWN segment and DAS business unit to Amphenol, net proceeds of $7.4 million related to the sale of the OneCell business and cash paid in the prior period of $45.1 million related to the Casa Transaction. These favorable impacts were partially offset by unfavorable impacts due to increased capital expenditures of $45.0 million compared to the prior year and proceeds received in the prior year of $13.0 million on the sale of certain nonfinancial assets.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Financing Activities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2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0" w:type="dxa"/>
            <w:vAlign w:val="bottom"/>
          </w:tcPr>
          <w:p>
            <w:pPr>
              <w:spacing w:after="0"/>
              <w:rPr>
                <w:sz w:val="1"/>
                <w:szCs w:val="1"/>
                <w:color w:val="auto"/>
              </w:rPr>
            </w:pPr>
          </w:p>
        </w:tc>
      </w:tr>
      <w:tr>
        <w:trPr>
          <w:trHeight w:val="193"/>
        </w:trPr>
        <w:tc>
          <w:tcPr>
            <w:tcW w:w="7780" w:type="dxa"/>
            <w:vAlign w:val="bottom"/>
          </w:tcPr>
          <w:p>
            <w:pPr>
              <w:spacing w:after="0"/>
              <w:rPr>
                <w:sz w:val="16"/>
                <w:szCs w:val="16"/>
                <w:color w:val="auto"/>
              </w:rPr>
            </w:pPr>
          </w:p>
        </w:tc>
        <w:tc>
          <w:tcPr>
            <w:tcW w:w="300" w:type="dxa"/>
            <w:vAlign w:val="bottom"/>
            <w:tcBorders>
              <w:top w:val="single" w:sz="8" w:color="1E1E1E"/>
              <w:bottom w:val="single" w:sz="8" w:color="1E1E1E"/>
            </w:tcBorders>
          </w:tcPr>
          <w:p>
            <w:pPr>
              <w:spacing w:after="0"/>
              <w:rPr>
                <w:sz w:val="16"/>
                <w:szCs w:val="16"/>
                <w:color w:val="auto"/>
              </w:rPr>
            </w:pPr>
          </w:p>
        </w:tc>
        <w:tc>
          <w:tcPr>
            <w:tcW w:w="1000" w:type="dxa"/>
            <w:vAlign w:val="bottom"/>
            <w:tcBorders>
              <w:top w:val="single" w:sz="8" w:color="1E1E1E"/>
              <w:bottom w:val="single" w:sz="8" w:color="1E1E1E"/>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60" w:type="dxa"/>
            <w:vAlign w:val="bottom"/>
            <w:tcBorders>
              <w:top w:val="single" w:sz="8" w:color="1E1E1E"/>
            </w:tcBorders>
          </w:tcPr>
          <w:p>
            <w:pPr>
              <w:spacing w:after="0"/>
              <w:rPr>
                <w:sz w:val="16"/>
                <w:szCs w:val="16"/>
                <w:color w:val="auto"/>
              </w:rPr>
            </w:pPr>
          </w:p>
        </w:tc>
        <w:tc>
          <w:tcPr>
            <w:tcW w:w="120" w:type="dxa"/>
            <w:vAlign w:val="bottom"/>
            <w:tcBorders>
              <w:top w:val="single" w:sz="8" w:color="1E1E1E"/>
            </w:tcBorders>
          </w:tcPr>
          <w:p>
            <w:pPr>
              <w:spacing w:after="0"/>
              <w:rPr>
                <w:sz w:val="16"/>
                <w:szCs w:val="16"/>
                <w:color w:val="auto"/>
              </w:rPr>
            </w:pPr>
          </w:p>
        </w:tc>
        <w:tc>
          <w:tcPr>
            <w:tcW w:w="400" w:type="dxa"/>
            <w:vAlign w:val="bottom"/>
            <w:tcBorders>
              <w:top w:val="single" w:sz="8" w:color="1E1E1E"/>
              <w:bottom w:val="single" w:sz="8" w:color="1E1E1E"/>
            </w:tcBorders>
          </w:tcPr>
          <w:p>
            <w:pPr>
              <w:spacing w:after="0"/>
              <w:rPr>
                <w:sz w:val="16"/>
                <w:szCs w:val="16"/>
                <w:color w:val="auto"/>
              </w:rPr>
            </w:pPr>
          </w:p>
        </w:tc>
        <w:tc>
          <w:tcPr>
            <w:tcW w:w="960" w:type="dxa"/>
            <w:vAlign w:val="bottom"/>
            <w:tcBorders>
              <w:top w:val="single" w:sz="8" w:color="1E1E1E"/>
              <w:bottom w:val="single" w:sz="8" w:color="1E1E1E"/>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1E1E1E"/>
                <w:w w:val="93"/>
              </w:rPr>
              <w:t>millions)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78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Long-term debt repaid</w:t>
            </w:r>
          </w:p>
        </w:tc>
        <w:tc>
          <w:tcPr>
            <w:tcW w:w="300" w:type="dxa"/>
            <w:vAlign w:val="bottom"/>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(2,049.0)</w:t>
            </w:r>
          </w:p>
        </w:tc>
        <w:tc>
          <w:tcPr>
            <w:tcW w:w="52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(4,338.6)</w:t>
            </w:r>
          </w:p>
        </w:tc>
        <w:tc>
          <w:tcPr>
            <w:tcW w:w="0" w:type="dxa"/>
            <w:vAlign w:val="bottom"/>
          </w:tcPr>
          <w:p>
            <w:pPr>
              <w:spacing w:after="0"/>
              <w:rPr>
                <w:sz w:val="1"/>
                <w:szCs w:val="1"/>
                <w:color w:val="auto"/>
              </w:rPr>
            </w:pPr>
          </w:p>
        </w:tc>
      </w:tr>
      <w:tr>
        <w:trPr>
          <w:trHeight w:val="244"/>
        </w:trPr>
        <w:tc>
          <w:tcPr>
            <w:tcW w:w="7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Long-term debt proceeds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4,350.0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8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Cash paid for debt discount</w:t>
            </w:r>
          </w:p>
        </w:tc>
        <w:tc>
          <w:tcPr>
            <w:tcW w:w="30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1E1E1"/>
          </w:tcPr>
          <w:p>
            <w:pPr>
              <w:spacing w:after="0"/>
              <w:rPr>
                <w:sz w:val="21"/>
                <w:szCs w:val="21"/>
                <w:color w:val="auto"/>
              </w:rPr>
            </w:pPr>
          </w:p>
        </w:tc>
        <w:tc>
          <w:tcPr>
            <w:tcW w:w="400" w:type="dxa"/>
            <w:vAlign w:val="bottom"/>
            <w:shd w:val="clear" w:color="auto" w:fill="E1E1E1"/>
          </w:tcPr>
          <w:p>
            <w:pPr>
              <w:spacing w:after="0"/>
              <w:rPr>
                <w:sz w:val="21"/>
                <w:szCs w:val="21"/>
                <w:color w:val="auto"/>
              </w:rPr>
            </w:pPr>
          </w:p>
        </w:tc>
        <w:tc>
          <w:tcPr>
            <w:tcW w:w="10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(59.4)</w:t>
            </w:r>
          </w:p>
        </w:tc>
        <w:tc>
          <w:tcPr>
            <w:tcW w:w="0" w:type="dxa"/>
            <w:vAlign w:val="bottom"/>
          </w:tcPr>
          <w:p>
            <w:pPr>
              <w:spacing w:after="0"/>
              <w:rPr>
                <w:sz w:val="1"/>
                <w:szCs w:val="1"/>
                <w:color w:val="auto"/>
              </w:rPr>
            </w:pPr>
          </w:p>
        </w:tc>
      </w:tr>
      <w:tr>
        <w:trPr>
          <w:trHeight w:val="244"/>
        </w:trPr>
        <w:tc>
          <w:tcPr>
            <w:tcW w:w="7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Debt issuance costs</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(33.1)</w:t>
            </w:r>
          </w:p>
        </w:tc>
        <w:tc>
          <w:tcPr>
            <w:tcW w:w="0" w:type="dxa"/>
            <w:vAlign w:val="bottom"/>
          </w:tcPr>
          <w:p>
            <w:pPr>
              <w:spacing w:after="0"/>
              <w:rPr>
                <w:sz w:val="1"/>
                <w:szCs w:val="1"/>
                <w:color w:val="auto"/>
              </w:rPr>
            </w:pPr>
          </w:p>
        </w:tc>
      </w:tr>
      <w:tr>
        <w:trPr>
          <w:trHeight w:val="244"/>
        </w:trPr>
        <w:tc>
          <w:tcPr>
            <w:tcW w:w="778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Dividends paid on Series A convertible preferred stock</w:t>
            </w:r>
          </w:p>
        </w:tc>
        <w:tc>
          <w:tcPr>
            <w:tcW w:w="30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(17.6)</w:t>
            </w:r>
          </w:p>
        </w:tc>
        <w:tc>
          <w:tcPr>
            <w:tcW w:w="120" w:type="dxa"/>
            <w:vAlign w:val="bottom"/>
            <w:shd w:val="clear" w:color="auto" w:fill="E1E1E1"/>
          </w:tcPr>
          <w:p>
            <w:pPr>
              <w:spacing w:after="0"/>
              <w:rPr>
                <w:sz w:val="21"/>
                <w:szCs w:val="21"/>
                <w:color w:val="auto"/>
              </w:rPr>
            </w:pPr>
          </w:p>
        </w:tc>
        <w:tc>
          <w:tcPr>
            <w:tcW w:w="400" w:type="dxa"/>
            <w:vAlign w:val="bottom"/>
            <w:shd w:val="clear" w:color="auto" w:fill="E1E1E1"/>
          </w:tcPr>
          <w:p>
            <w:pPr>
              <w:spacing w:after="0"/>
              <w:rPr>
                <w:sz w:val="21"/>
                <w:szCs w:val="21"/>
                <w:color w:val="auto"/>
              </w:rPr>
            </w:pPr>
          </w:p>
        </w:tc>
        <w:tc>
          <w:tcPr>
            <w:tcW w:w="104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7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Tax withholding payments for vested equity-based compensation awards</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(1.9)</w:t>
            </w:r>
          </w:p>
        </w:tc>
        <w:tc>
          <w:tcPr>
            <w:tcW w:w="0" w:type="dxa"/>
            <w:vAlign w:val="bottom"/>
          </w:tcPr>
          <w:p>
            <w:pPr>
              <w:spacing w:after="0"/>
              <w:rPr>
                <w:sz w:val="1"/>
                <w:szCs w:val="1"/>
                <w:color w:val="auto"/>
              </w:rPr>
            </w:pPr>
          </w:p>
        </w:tc>
      </w:tr>
      <w:tr>
        <w:trPr>
          <w:trHeight w:val="20"/>
        </w:trPr>
        <w:tc>
          <w:tcPr>
            <w:tcW w:w="778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cash used in financing activities</w:t>
            </w:r>
          </w:p>
        </w:tc>
        <w:tc>
          <w:tcPr>
            <w:tcW w:w="300" w:type="dxa"/>
            <w:vAlign w:val="bottom"/>
            <w:shd w:val="clear" w:color="auto" w:fill="1E1E1E"/>
          </w:tcPr>
          <w:p>
            <w:pPr>
              <w:spacing w:after="0" w:line="20" w:lineRule="exact"/>
              <w:rPr>
                <w:sz w:val="1"/>
                <w:szCs w:val="1"/>
                <w:color w:val="auto"/>
              </w:rPr>
            </w:pPr>
          </w:p>
        </w:tc>
        <w:tc>
          <w:tcPr>
            <w:tcW w:w="1000" w:type="dxa"/>
            <w:vAlign w:val="bottom"/>
            <w:shd w:val="clear" w:color="auto" w:fill="1E1E1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shd w:val="clear" w:color="auto" w:fill="1E1E1E"/>
          </w:tcPr>
          <w:p>
            <w:pPr>
              <w:spacing w:after="0" w:line="20" w:lineRule="exact"/>
              <w:rPr>
                <w:sz w:val="1"/>
                <w:szCs w:val="1"/>
                <w:color w:val="auto"/>
              </w:rPr>
            </w:pPr>
          </w:p>
        </w:tc>
        <w:tc>
          <w:tcPr>
            <w:tcW w:w="96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780" w:type="dxa"/>
            <w:vAlign w:val="bottom"/>
            <w:vMerge w:val="continue"/>
            <w:shd w:val="clear" w:color="auto" w:fill="E1E1E1"/>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(2,053.6)</w:t>
            </w:r>
          </w:p>
        </w:tc>
        <w:tc>
          <w:tcPr>
            <w:tcW w:w="120" w:type="dxa"/>
            <w:vAlign w:val="bottom"/>
            <w:vMerge w:val="continue"/>
          </w:tcPr>
          <w:p>
            <w:pPr>
              <w:spacing w:after="0"/>
              <w:rPr>
                <w:sz w:val="20"/>
                <w:szCs w:val="20"/>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(83.0)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1E1E1E"/>
              <w:bottom w:val="single" w:sz="8" w:color="1E1E1E"/>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4940935</wp:posOffset>
            </wp:positionH>
            <wp:positionV relativeFrom="paragraph">
              <wp:posOffset>-192405</wp:posOffset>
            </wp:positionV>
            <wp:extent cx="1862455" cy="164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1862455" cy="164465"/>
                    </a:xfrm>
                    <a:prstGeom prst="rect">
                      <a:avLst/>
                    </a:prstGeom>
                    <a:noFill/>
                  </pic:spPr>
                </pic:pic>
              </a:graphicData>
            </a:graphic>
          </wp:anchor>
        </w:drawing>
      </w:r>
    </w:p>
    <w:p>
      <w:pPr>
        <w:spacing w:after="0" w:line="3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In 2025, we repurchased $299.0 million in aggregate principal amount of our 4.75% senior secured notes due September 1, 2029 and repurchased in full the $1,500.0 million outstanding principal amount of our 6.00% senior secured notes due March 1, 2026. In connection with the debt transactions, we paid $5.7 million of debt issuance costs. We also borrowed $50.0 million and repaid $250.0 million of outstanding borrowings under our asset-based revolving credit facility (Revolving Credit Facility).</w:t>
      </w:r>
    </w:p>
    <w:p>
      <w:pPr>
        <w:spacing w:after="0" w:line="19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1E1E1E"/>
        </w:rPr>
        <w:t>In 2024, we completed certain refinancing transactions including the issuance of $1,000 million in aggregate principal amount of our 9.50% senior secured notes due December 15, 2031 and entry into the senior secured term loan facility due December 2029 with an initial aggregate principal amount of $3,150.0 million. We used the net proceeds, together with cash on hand and $200.0 million of borrowings under our Revolving Credit Facility, to refinance the outstanding $3,064.0 million of our then-existing senior secured term loan facility due April 2026 (2026 Term Loan) and redeem all of the approximately $1,274.6 million in outstanding aggregate principal amount of our 6.00% senior notes due 2025. In connection with the refinancing transactions, we paid approximately $59.4 million of original issuance discount and $33.1 million of debt issuance costs. We also paid the quarterly scheduled amortization payments totaling $24.0 million on our 2026 Term Loan.</w:t>
      </w:r>
    </w:p>
    <w:p>
      <w:pPr>
        <w:spacing w:after="0" w:line="202"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20"/>
          <w:szCs w:val="20"/>
          <w:color w:val="1E1E1E"/>
        </w:rPr>
        <w:t>In 2025, employees surrendered shares of our common stock to satisfy their tax withholding requirements on vested restricted stock units (RSUs) and performance share units (PSUs), which reduced cash flows by $31.3 million compared to $1.9 million in the prior year.</w:t>
      </w:r>
    </w:p>
    <w:p>
      <w:pPr>
        <w:spacing w:after="0" w:line="185"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20"/>
          <w:szCs w:val="20"/>
          <w:color w:val="1E1E1E"/>
        </w:rPr>
        <w:t>In 2025, we paid $17.6 million of cash dividends and $51.3 million of dividends in additional shares due under the Convertible Preferred Stock. In 2024, we paid $65.2 million of dividends in additional shares due under the Convertible Preferred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Reconciliation of Non-GAAP Measures</w:t>
      </w:r>
    </w:p>
    <w:p>
      <w:pPr>
        <w:spacing w:after="0" w:line="12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spacing w:after="0" w:line="19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We believe these financial measures are commonly used by investors to evaluate our performance and that of our competitors. However, our use of the term “non-GAAP adjusted EBITDA” may vary from that of others in our industry. This financial measure should not be considered as an alternative to operating income (loss), net income (loss) or any other performance measures derived in accordance with U.S. GAAP as measures of operating performance, operating cash flows or liquidity.</w:t>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47</w:t>
      </w:r>
    </w:p>
    <w:p>
      <w:pPr>
        <w:sectPr>
          <w:pgSz w:w="11880" w:h="15480" w:orient="portrait"/>
          <w:cols w:equalWidth="0" w:num="1">
            <w:col w:w="10800"/>
          </w:cols>
          <w:pgMar w:left="540" w:top="1238" w:right="540" w:bottom="0" w:gutter="0" w:footer="0" w:header="0"/>
          <w:type w:val="continuous"/>
        </w:sectPr>
      </w:pPr>
    </w:p>
    <w:bookmarkStart w:id="57" w:name="page58"/>
    <w:bookmarkEnd w:id="57"/>
    <w:p>
      <w:pPr>
        <w:ind w:right="140"/>
        <w:spacing w:after="0" w:line="253" w:lineRule="auto"/>
        <w:rPr>
          <w:sz w:val="20"/>
          <w:szCs w:val="20"/>
          <w:color w:val="auto"/>
        </w:rPr>
      </w:pPr>
      <w:r>
        <w:rPr>
          <w:rFonts w:ascii="Times New Roman" w:cs="Times New Roman" w:eastAsia="Times New Roman" w:hAnsi="Times New Roman"/>
          <w:sz w:val="20"/>
          <w:szCs w:val="20"/>
          <w:color w:val="1E1E1E"/>
        </w:rPr>
        <w:t>Although there were no financial maintenance covenants under the terms of our senior notes that existed as of December 31, 2025, there were certain limitations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Consolidated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88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2120" w:type="dxa"/>
            <w:vAlign w:val="bottom"/>
            <w:tcBorders>
              <w:bottom w:val="single" w:sz="8" w:color="1E1E1E"/>
            </w:tcBorders>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0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880" w:type="dxa"/>
            <w:vAlign w:val="bottom"/>
            <w:tcBorders>
              <w:bottom w:val="single" w:sz="8" w:color="1E1E1E"/>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1100" w:type="dxa"/>
            <w:vAlign w:val="bottom"/>
            <w:tcBorders>
              <w:bottom w:val="single" w:sz="8" w:color="1E1E1E"/>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00" w:type="dxa"/>
            <w:vAlign w:val="bottom"/>
          </w:tcPr>
          <w:p>
            <w:pPr>
              <w:spacing w:after="0"/>
              <w:rPr>
                <w:sz w:val="16"/>
                <w:szCs w:val="16"/>
                <w:color w:val="auto"/>
              </w:rPr>
            </w:pPr>
          </w:p>
        </w:tc>
        <w:tc>
          <w:tcPr>
            <w:tcW w:w="300" w:type="dxa"/>
            <w:vAlign w:val="bottom"/>
            <w:tcBorders>
              <w:bottom w:val="single" w:sz="8" w:color="1E1E1E"/>
            </w:tcBorders>
          </w:tcPr>
          <w:p>
            <w:pPr>
              <w:spacing w:after="0"/>
              <w:rPr>
                <w:sz w:val="16"/>
                <w:szCs w:val="16"/>
                <w:color w:val="auto"/>
              </w:rPr>
            </w:pPr>
          </w:p>
        </w:tc>
        <w:tc>
          <w:tcPr>
            <w:tcW w:w="1040" w:type="dxa"/>
            <w:vAlign w:val="bottom"/>
            <w:tcBorders>
              <w:bottom w:val="single" w:sz="8" w:color="1E1E1E"/>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Income (loss) from continuing operations</w:t>
            </w:r>
          </w:p>
        </w:tc>
        <w:tc>
          <w:tcPr>
            <w:tcW w:w="1260" w:type="dxa"/>
            <w:vAlign w:val="bottom"/>
            <w:gridSpan w:val="2"/>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324.3</w:t>
            </w:r>
          </w:p>
        </w:tc>
        <w:tc>
          <w:tcPr>
            <w:tcW w:w="100" w:type="dxa"/>
            <w:vAlign w:val="bottom"/>
            <w:shd w:val="clear" w:color="auto" w:fill="E1E1E1"/>
          </w:tcPr>
          <w:p>
            <w:pPr>
              <w:spacing w:after="0"/>
              <w:rPr>
                <w:sz w:val="21"/>
                <w:szCs w:val="21"/>
                <w:color w:val="auto"/>
              </w:rPr>
            </w:pPr>
          </w:p>
        </w:tc>
        <w:tc>
          <w:tcPr>
            <w:tcW w:w="42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400" w:type="dxa"/>
            <w:vAlign w:val="bottom"/>
            <w:gridSpan w:val="2"/>
            <w:shd w:val="clear" w:color="auto" w:fill="E1E1E1"/>
          </w:tcPr>
          <w:p>
            <w:pPr>
              <w:jc w:val="right"/>
              <w:ind w:right="240"/>
              <w:spacing w:after="0"/>
              <w:rPr>
                <w:sz w:val="20"/>
                <w:szCs w:val="20"/>
                <w:color w:val="auto"/>
              </w:rPr>
            </w:pPr>
            <w:r>
              <w:rPr>
                <w:rFonts w:ascii="Times New Roman" w:cs="Times New Roman" w:eastAsia="Times New Roman" w:hAnsi="Times New Roman"/>
                <w:sz w:val="20"/>
                <w:szCs w:val="20"/>
                <w:color w:val="1E1E1E"/>
              </w:rPr>
              <w:t>(206.0)</w:t>
            </w:r>
          </w:p>
        </w:tc>
        <w:tc>
          <w:tcPr>
            <w:tcW w:w="300" w:type="dxa"/>
            <w:vAlign w:val="bottom"/>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(652.8)</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1E1E1E"/>
              </w:rPr>
              <w:t>Income tax expense (benefit)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(269.4)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(66.9)</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Interest income</w:t>
            </w:r>
          </w:p>
        </w:tc>
        <w:tc>
          <w:tcPr>
            <w:tcW w:w="10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(16.7)</w:t>
            </w:r>
          </w:p>
        </w:tc>
        <w:tc>
          <w:tcPr>
            <w:tcW w:w="1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400" w:type="dxa"/>
            <w:vAlign w:val="bottom"/>
            <w:gridSpan w:val="2"/>
            <w:shd w:val="clear" w:color="auto" w:fill="E1E1E1"/>
          </w:tcPr>
          <w:p>
            <w:pPr>
              <w:jc w:val="right"/>
              <w:ind w:right="240"/>
              <w:spacing w:after="0"/>
              <w:rPr>
                <w:sz w:val="20"/>
                <w:szCs w:val="20"/>
                <w:color w:val="auto"/>
              </w:rPr>
            </w:pPr>
            <w:r>
              <w:rPr>
                <w:rFonts w:ascii="Times New Roman" w:cs="Times New Roman" w:eastAsia="Times New Roman" w:hAnsi="Times New Roman"/>
                <w:sz w:val="20"/>
                <w:szCs w:val="20"/>
                <w:color w:val="1E1E1E"/>
              </w:rPr>
              <w:t>(10.9)</w:t>
            </w:r>
          </w:p>
        </w:tc>
        <w:tc>
          <w:tcPr>
            <w:tcW w:w="3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(11.1)</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(7.9)</w:t>
            </w:r>
          </w:p>
        </w:tc>
        <w:tc>
          <w:tcPr>
            <w:tcW w:w="3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(75.5)</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income (loss)</w:t>
            </w:r>
          </w:p>
        </w:tc>
        <w:tc>
          <w:tcPr>
            <w:tcW w:w="1000" w:type="dxa"/>
            <w:vAlign w:val="bottom"/>
            <w:shd w:val="clear" w:color="auto" w:fill="E1E1E1"/>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880" w:type="dxa"/>
            <w:vAlign w:val="bottom"/>
            <w:shd w:val="clear" w:color="auto" w:fill="1E1E1E"/>
          </w:tcPr>
          <w:p>
            <w:pPr>
              <w:spacing w:after="0" w:line="20" w:lineRule="exact"/>
              <w:rPr>
                <w:sz w:val="1"/>
                <w:szCs w:val="1"/>
                <w:color w:val="auto"/>
              </w:rPr>
            </w:pPr>
          </w:p>
        </w:tc>
        <w:tc>
          <w:tcPr>
            <w:tcW w:w="100" w:type="dxa"/>
            <w:vAlign w:val="bottom"/>
            <w:shd w:val="clear" w:color="auto" w:fill="E1E1E1"/>
          </w:tcPr>
          <w:p>
            <w:pPr>
              <w:spacing w:after="0" w:line="20" w:lineRule="exact"/>
              <w:rPr>
                <w:sz w:val="1"/>
                <w:szCs w:val="1"/>
                <w:color w:val="auto"/>
              </w:rPr>
            </w:pPr>
          </w:p>
        </w:tc>
        <w:tc>
          <w:tcPr>
            <w:tcW w:w="180" w:type="dxa"/>
            <w:vAlign w:val="bottom"/>
            <w:shd w:val="clear" w:color="auto" w:fill="E1E1E1"/>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4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320" w:type="dxa"/>
            <w:vAlign w:val="bottom"/>
            <w:vMerge w:val="continue"/>
            <w:shd w:val="clear" w:color="auto" w:fill="E1E1E1"/>
          </w:tcPr>
          <w:p>
            <w:pPr>
              <w:spacing w:after="0"/>
              <w:rPr>
                <w:sz w:val="20"/>
                <w:szCs w:val="20"/>
                <w:color w:val="auto"/>
              </w:rPr>
            </w:pPr>
          </w:p>
        </w:tc>
        <w:tc>
          <w:tcPr>
            <w:tcW w:w="100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47.6</w:t>
            </w:r>
          </w:p>
        </w:tc>
        <w:tc>
          <w:tcPr>
            <w:tcW w:w="10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(291.7)</w:t>
            </w: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(659.6)</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1E1E1E"/>
              </w:rPr>
              <w:t>Adjustments: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Amortization of purchased intangible assets</w:t>
            </w:r>
          </w:p>
        </w:tc>
        <w:tc>
          <w:tcPr>
            <w:tcW w:w="10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138.4</w:t>
            </w:r>
          </w:p>
        </w:tc>
        <w:tc>
          <w:tcPr>
            <w:tcW w:w="1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165.1</w:t>
            </w:r>
          </w:p>
        </w:tc>
        <w:tc>
          <w:tcPr>
            <w:tcW w:w="30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227.0</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Restructuring costs, net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10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30.4</w:t>
            </w:r>
          </w:p>
        </w:tc>
        <w:tc>
          <w:tcPr>
            <w:tcW w:w="1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19.5</w:t>
            </w:r>
          </w:p>
        </w:tc>
        <w:tc>
          <w:tcPr>
            <w:tcW w:w="30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31.3</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Asset impairments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1E1E1"/>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Transaction, transformation and integration costs </w:t>
            </w:r>
            <w:r>
              <w:rPr>
                <w:rFonts w:ascii="Times New Roman" w:cs="Times New Roman" w:eastAsia="Times New Roman" w:hAnsi="Times New Roman"/>
                <w:sz w:val="26"/>
                <w:szCs w:val="26"/>
                <w:color w:val="1E1E1E"/>
                <w:vertAlign w:val="superscript"/>
              </w:rPr>
              <w:t>(1)</w:t>
            </w:r>
          </w:p>
        </w:tc>
        <w:tc>
          <w:tcPr>
            <w:tcW w:w="10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29.9</w:t>
            </w:r>
          </w:p>
        </w:tc>
        <w:tc>
          <w:tcPr>
            <w:tcW w:w="1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63.4</w:t>
            </w:r>
          </w:p>
        </w:tc>
        <w:tc>
          <w:tcPr>
            <w:tcW w:w="30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27.1</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Acquisition accounting adjustments </w:t>
            </w:r>
            <w:r>
              <w:rPr>
                <w:rFonts w:ascii="Times New Roman" w:cs="Times New Roman" w:eastAsia="Times New Roman" w:hAnsi="Times New Roman"/>
                <w:sz w:val="26"/>
                <w:szCs w:val="26"/>
                <w:color w:val="1E1E1E"/>
                <w:vertAlign w:val="superscript"/>
              </w:rPr>
              <w:t>(2)</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Patent claims and litigation settlements</w:t>
            </w:r>
          </w:p>
        </w:tc>
        <w:tc>
          <w:tcPr>
            <w:tcW w:w="10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400" w:type="dxa"/>
            <w:vAlign w:val="bottom"/>
            <w:gridSpan w:val="2"/>
            <w:shd w:val="clear" w:color="auto" w:fill="E1E1E1"/>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(3.5)</w:t>
            </w:r>
          </w:p>
        </w:tc>
        <w:tc>
          <w:tcPr>
            <w:tcW w:w="0" w:type="dxa"/>
            <w:vAlign w:val="bottom"/>
          </w:tcPr>
          <w:p>
            <w:pPr>
              <w:spacing w:after="0"/>
              <w:rPr>
                <w:sz w:val="1"/>
                <w:szCs w:val="1"/>
                <w:color w:val="auto"/>
              </w:rPr>
            </w:pPr>
          </w:p>
        </w:tc>
      </w:tr>
      <w:tr>
        <w:trPr>
          <w:trHeight w:val="244"/>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Recovery of Russian accounts receivable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(2.0)</w:t>
            </w:r>
          </w:p>
        </w:tc>
        <w:tc>
          <w:tcPr>
            <w:tcW w:w="0" w:type="dxa"/>
            <w:vAlign w:val="bottom"/>
          </w:tcPr>
          <w:p>
            <w:pPr>
              <w:spacing w:after="0"/>
              <w:rPr>
                <w:sz w:val="1"/>
                <w:szCs w:val="1"/>
                <w:color w:val="auto"/>
              </w:rPr>
            </w:pPr>
          </w:p>
        </w:tc>
      </w:tr>
      <w:tr>
        <w:trPr>
          <w:trHeight w:val="244"/>
        </w:trPr>
        <w:tc>
          <w:tcPr>
            <w:tcW w:w="5320" w:type="dxa"/>
            <w:vAlign w:val="bottom"/>
            <w:shd w:val="clear" w:color="auto" w:fill="E1E1E1"/>
          </w:tcPr>
          <w:p>
            <w:pPr>
              <w:ind w:left="200"/>
              <w:spacing w:after="0" w:line="243" w:lineRule="exact"/>
              <w:rPr>
                <w:sz w:val="20"/>
                <w:szCs w:val="20"/>
                <w:color w:val="auto"/>
              </w:rPr>
            </w:pPr>
            <w:r>
              <w:rPr>
                <w:rFonts w:ascii="Times New Roman" w:cs="Times New Roman" w:eastAsia="Times New Roman" w:hAnsi="Times New Roman"/>
                <w:sz w:val="20"/>
                <w:szCs w:val="20"/>
                <w:color w:val="1E1E1E"/>
              </w:rPr>
              <w:t xml:space="preserve">Cyber incident costs </w:t>
            </w:r>
            <w:r>
              <w:rPr>
                <w:rFonts w:ascii="Times New Roman" w:cs="Times New Roman" w:eastAsia="Times New Roman" w:hAnsi="Times New Roman"/>
                <w:sz w:val="26"/>
                <w:szCs w:val="26"/>
                <w:color w:val="1E1E1E"/>
                <w:vertAlign w:val="superscript"/>
              </w:rPr>
              <w:t>(3)</w:t>
            </w:r>
          </w:p>
        </w:tc>
        <w:tc>
          <w:tcPr>
            <w:tcW w:w="10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400" w:type="dxa"/>
            <w:vAlign w:val="bottom"/>
            <w:gridSpan w:val="2"/>
            <w:shd w:val="clear" w:color="auto" w:fill="E1E1E1"/>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5.5</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Depreciation</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 xml:space="preserve">Other </w:t>
            </w:r>
            <w:r>
              <w:rPr>
                <w:rFonts w:ascii="Times New Roman" w:cs="Times New Roman" w:eastAsia="Times New Roman" w:hAnsi="Times New Roman"/>
                <w:sz w:val="11"/>
                <w:szCs w:val="11"/>
                <w:color w:val="1E1E1E"/>
              </w:rPr>
              <w:t>(4)</w:t>
            </w:r>
          </w:p>
        </w:tc>
        <w:tc>
          <w:tcPr>
            <w:tcW w:w="10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1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400" w:type="dxa"/>
            <w:vAlign w:val="bottom"/>
            <w:gridSpan w:val="2"/>
            <w:shd w:val="clear" w:color="auto" w:fill="E1E1E1"/>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1E1E1E"/>
              </w:rPr>
              <w:t>Non-GAAP adjusted EBITDA</w:t>
            </w:r>
          </w:p>
        </w:tc>
        <w:tc>
          <w:tcPr>
            <w:tcW w:w="1000" w:type="dxa"/>
            <w:vAlign w:val="bottom"/>
          </w:tcPr>
          <w:p>
            <w:pPr>
              <w:spacing w:after="0"/>
              <w:rPr>
                <w:sz w:val="20"/>
                <w:szCs w:val="20"/>
                <w:color w:val="auto"/>
              </w:rPr>
            </w:pPr>
          </w:p>
        </w:tc>
        <w:tc>
          <w:tcPr>
            <w:tcW w:w="260" w:type="dxa"/>
            <w:vAlign w:val="bottom"/>
            <w:tcBorders>
              <w:top w:val="single" w:sz="8" w:color="1E1E1E"/>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292.0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1E1E1E"/>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24.5</w:t>
            </w:r>
          </w:p>
        </w:tc>
        <w:tc>
          <w:tcPr>
            <w:tcW w:w="300" w:type="dxa"/>
            <w:vAlign w:val="bottom"/>
          </w:tcPr>
          <w:p>
            <w:pPr>
              <w:spacing w:after="0"/>
              <w:rPr>
                <w:sz w:val="20"/>
                <w:szCs w:val="20"/>
                <w:color w:val="auto"/>
              </w:rPr>
            </w:pPr>
          </w:p>
        </w:tc>
        <w:tc>
          <w:tcPr>
            <w:tcW w:w="300" w:type="dxa"/>
            <w:vAlign w:val="bottom"/>
            <w:tcBorders>
              <w:top w:val="single" w:sz="8" w:color="1E1E1E"/>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-2216150</wp:posOffset>
            </wp:positionV>
            <wp:extent cx="1883410" cy="164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1883410" cy="164465"/>
                    </a:xfrm>
                    <a:prstGeom prst="rect">
                      <a:avLst/>
                    </a:prstGeom>
                    <a:noFill/>
                  </pic:spPr>
                </pic:pic>
              </a:graphicData>
            </a:graphic>
          </wp:anchor>
        </w:drawing>
      </w:r>
    </w:p>
    <w:p>
      <w:pPr>
        <w:spacing w:after="0" w:line="80" w:lineRule="exact"/>
        <w:rPr>
          <w:sz w:val="20"/>
          <w:szCs w:val="20"/>
          <w:color w:val="auto"/>
        </w:rPr>
      </w:pPr>
    </w:p>
    <w:p>
      <w:pPr>
        <w:ind w:left="480" w:hanging="480"/>
        <w:spacing w:after="0"/>
        <w:tabs>
          <w:tab w:leader="none" w:pos="480" w:val="left"/>
        </w:tabs>
        <w:numPr>
          <w:ilvl w:val="0"/>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2025, 2024 and 2023, primarily reflects transaction costs related to our transformation initiative that began in 2021.</w:t>
      </w:r>
    </w:p>
    <w:p>
      <w:pPr>
        <w:spacing w:after="0" w:line="58" w:lineRule="exact"/>
        <w:rPr>
          <w:rFonts w:ascii="Times New Roman" w:cs="Times New Roman" w:eastAsia="Times New Roman" w:hAnsi="Times New Roman"/>
          <w:sz w:val="19"/>
          <w:szCs w:val="19"/>
          <w:color w:val="1E1E1E"/>
        </w:rPr>
      </w:pPr>
    </w:p>
    <w:p>
      <w:pPr>
        <w:ind w:left="480" w:right="40" w:hanging="480"/>
        <w:spacing w:after="0" w:line="272" w:lineRule="auto"/>
        <w:tabs>
          <w:tab w:leader="none" w:pos="480" w:val="left"/>
        </w:tabs>
        <w:numPr>
          <w:ilvl w:val="0"/>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 xml:space="preserve">In 2023, reflects </w:t>
      </w:r>
      <w:r>
        <w:rPr>
          <w:rFonts w:ascii="Times New Roman" w:cs="Times New Roman" w:eastAsia="Times New Roman" w:hAnsi="Times New Roman"/>
          <w:sz w:val="20"/>
          <w:szCs w:val="20"/>
          <w:color w:val="1E1E1E"/>
        </w:rPr>
        <w:t>ARRIS International plc</w:t>
      </w:r>
      <w:r>
        <w:rPr>
          <w:rFonts w:ascii="Times New Roman" w:cs="Times New Roman" w:eastAsia="Times New Roman" w:hAnsi="Times New Roman"/>
          <w:sz w:val="19"/>
          <w:szCs w:val="19"/>
          <w:color w:val="1E1E1E"/>
        </w:rPr>
        <w:t xml:space="preserve"> acquisition accounting adjustments related to reducing deferred revenue to its estimated fair value.</w:t>
      </w:r>
    </w:p>
    <w:p>
      <w:pPr>
        <w:spacing w:after="0" w:line="1" w:lineRule="exact"/>
        <w:rPr>
          <w:rFonts w:ascii="Times New Roman" w:cs="Times New Roman" w:eastAsia="Times New Roman" w:hAnsi="Times New Roman"/>
          <w:sz w:val="19"/>
          <w:szCs w:val="19"/>
          <w:color w:val="1E1E1E"/>
        </w:rPr>
      </w:pPr>
    </w:p>
    <w:p>
      <w:pPr>
        <w:ind w:left="480" w:right="220" w:hanging="480"/>
        <w:spacing w:after="0" w:line="272" w:lineRule="auto"/>
        <w:tabs>
          <w:tab w:leader="none" w:pos="480" w:val="left"/>
        </w:tabs>
        <w:numPr>
          <w:ilvl w:val="0"/>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2023, primarily reflects costs of the identification, investigation, defense, recovery and litigation efforts related to a cyber incident that occurred in late March of 2023.</w:t>
      </w:r>
    </w:p>
    <w:p>
      <w:pPr>
        <w:ind w:left="480" w:hanging="480"/>
        <w:spacing w:after="0"/>
        <w:tabs>
          <w:tab w:leader="none" w:pos="480" w:val="left"/>
        </w:tabs>
        <w:numPr>
          <w:ilvl w:val="0"/>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 xml:space="preserve">In 2025, reflects a </w:t>
      </w:r>
      <w:r>
        <w:rPr>
          <w:rFonts w:ascii="Times New Roman" w:cs="Times New Roman" w:eastAsia="Times New Roman" w:hAnsi="Times New Roman"/>
          <w:sz w:val="20"/>
          <w:szCs w:val="20"/>
          <w:color w:val="1E1E1E"/>
        </w:rPr>
        <w:t>pretax loss of $4.8 million related to the sale of our OneCell business.</w:t>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48</w:t>
      </w:r>
    </w:p>
    <w:p>
      <w:pPr>
        <w:sectPr>
          <w:pgSz w:w="11880" w:h="15480" w:orient="portrait"/>
          <w:cols w:equalWidth="0" w:num="1">
            <w:col w:w="10800"/>
          </w:cols>
          <w:pgMar w:left="540" w:top="1238" w:right="54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1E1E1E"/>
        </w:rPr>
        <w:t>Reconciliation of Segment Adjusted EBITDA</w:t>
      </w:r>
    </w:p>
    <w:p>
      <w:pPr>
        <w:spacing w:after="0" w:line="123"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1E1E1E"/>
        </w:rPr>
        <w:t>Segment adjusted EBITDA is provided as a performance measure in Note 17 in the Notes to Consolidated Financial Statements included elsewhere in this Annual Report on Form 10-K. Below we reconcile segment adjusted EBITDA for each segment individually to operating income (loss) for that segment to supplement the reconciliation of the total segment adjusted EBITDA to consolidated operating income (loss) in that footnote.</w:t>
      </w:r>
    </w:p>
    <w:p>
      <w:pPr>
        <w:spacing w:after="0" w:line="19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1E1E1E"/>
        </w:rPr>
        <w:t>The corporate and other line item as presented in Note 17 in the Notes to Consolidated Financial Statements included elsewhere in this Annual Report, primarily reflects general corporate costs that were previously allocated to the CCS segment, OWN segment, DAS business unit and Home segment. These indirect costs are classified as continuing operations since these costs were not directly attributable to these discontinued operations. Beginning in the first quarter of 2024, the corporate and other costs related to the Home segment have been reallocated to our remaining segments and partially offset by income from the Vantiva TSA; those costs related to the OWN segment and DAS business unit have been reallocated to our remaining segments beginning in the first quarter of 2025 and partially offset by income from the Amphenol TSA; and those costs related to the CCS segment will be reallocated to our remaining segments beginning in the first quarter of 2026.</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 xml:space="preserve">RUCKUS </w:t>
      </w:r>
      <w:r>
        <w:rPr>
          <w:rFonts w:ascii="Times New Roman" w:cs="Times New Roman" w:eastAsia="Times New Roman" w:hAnsi="Times New Roman"/>
          <w:sz w:val="26"/>
          <w:szCs w:val="26"/>
          <w:b w:val="1"/>
          <w:bCs w:val="1"/>
          <w:i w:val="1"/>
          <w:iCs w:val="1"/>
          <w:color w:val="1E1E1E"/>
          <w:vertAlign w:val="superscript"/>
        </w:rPr>
        <w:t>(1)</w:t>
      </w:r>
    </w:p>
    <w:tbl>
      <w:tblPr>
        <w:tblLayout w:type="fixed"/>
        <w:tblInd w:w="0" w:type="dxa"/>
        <w:tblCellMar>
          <w:top w:w="0" w:type="dxa"/>
          <w:left w:w="0" w:type="dxa"/>
          <w:bottom w:w="0" w:type="dxa"/>
          <w:right w:w="0" w:type="dxa"/>
        </w:tblCellMar>
      </w:tblPr>
      <w:tr>
        <w:trPr>
          <w:trHeight w:val="204"/>
        </w:trPr>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spacing w:after="0"/>
              <w:rPr>
                <w:sz w:val="17"/>
                <w:szCs w:val="17"/>
                <w:color w:val="auto"/>
              </w:rPr>
            </w:pPr>
          </w:p>
        </w:tc>
        <w:tc>
          <w:tcPr>
            <w:tcW w:w="2080" w:type="dxa"/>
            <w:vAlign w:val="bottom"/>
            <w:tcBorders>
              <w:bottom w:val="single" w:sz="8" w:color="1E1E1E"/>
            </w:tcBorders>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6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20" w:type="dxa"/>
            <w:vAlign w:val="bottom"/>
            <w:tcBorders>
              <w:bottom w:val="single" w:sz="8" w:color="1E1E1E"/>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00" w:type="dxa"/>
            <w:vAlign w:val="bottom"/>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1040" w:type="dxa"/>
            <w:vAlign w:val="bottom"/>
            <w:tcBorders>
              <w:bottom w:val="single" w:sz="8" w:color="1E1E1E"/>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80" w:type="dxa"/>
            <w:vAlign w:val="bottom"/>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960" w:type="dxa"/>
            <w:vAlign w:val="bottom"/>
            <w:tcBorders>
              <w:bottom w:val="single" w:sz="8" w:color="1E1E1E"/>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Pr>
          <w:p>
            <w:pPr>
              <w:spacing w:after="0"/>
              <w:rPr>
                <w:sz w:val="16"/>
                <w:szCs w:val="16"/>
                <w:color w:val="auto"/>
              </w:rPr>
            </w:pPr>
          </w:p>
        </w:tc>
      </w:tr>
      <w:tr>
        <w:trPr>
          <w:trHeight w:val="193"/>
        </w:trPr>
        <w:tc>
          <w:tcPr>
            <w:tcW w:w="6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64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income (loss)</w:t>
            </w:r>
          </w:p>
        </w:tc>
        <w:tc>
          <w:tcPr>
            <w:tcW w:w="400" w:type="dxa"/>
            <w:vAlign w:val="bottom"/>
            <w:gridSpan w:val="2"/>
            <w:shd w:val="clear" w:color="auto" w:fill="E1E1E1"/>
          </w:tcPr>
          <w:p>
            <w:pPr>
              <w:jc w:val="right"/>
              <w:ind w:right="35"/>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43.0</w:t>
            </w:r>
          </w:p>
        </w:tc>
        <w:tc>
          <w:tcPr>
            <w:tcW w:w="4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(44.8)</w:t>
            </w: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58.7</w:t>
            </w:r>
          </w:p>
        </w:tc>
        <w:tc>
          <w:tcPr>
            <w:tcW w:w="80" w:type="dxa"/>
            <w:vAlign w:val="bottom"/>
            <w:shd w:val="clear" w:color="auto" w:fill="E1E1E1"/>
          </w:tcPr>
          <w:p>
            <w:pPr>
              <w:spacing w:after="0"/>
              <w:rPr>
                <w:sz w:val="21"/>
                <w:szCs w:val="21"/>
                <w:color w:val="auto"/>
              </w:rPr>
            </w:pPr>
          </w:p>
        </w:tc>
      </w:tr>
      <w:tr>
        <w:trPr>
          <w:trHeight w:val="244"/>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1E1E1E"/>
              </w:rPr>
              <w:t>Adjustments: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4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Amortization of purchased intangible assets</w:t>
            </w:r>
          </w:p>
        </w:tc>
        <w:tc>
          <w:tcPr>
            <w:tcW w:w="200" w:type="dxa"/>
            <w:vAlign w:val="bottom"/>
            <w:tcBorders>
              <w:right w:val="single" w:sz="8" w:color="E1E1E1"/>
            </w:tcBorders>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50.7</w:t>
            </w:r>
          </w:p>
        </w:tc>
        <w:tc>
          <w:tcPr>
            <w:tcW w:w="3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50.7</w:t>
            </w:r>
          </w:p>
        </w:tc>
        <w:tc>
          <w:tcPr>
            <w:tcW w:w="2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50.7</w:t>
            </w:r>
          </w:p>
        </w:tc>
        <w:tc>
          <w:tcPr>
            <w:tcW w:w="80" w:type="dxa"/>
            <w:vAlign w:val="bottom"/>
            <w:shd w:val="clear" w:color="auto" w:fill="E1E1E1"/>
          </w:tcPr>
          <w:p>
            <w:pPr>
              <w:spacing w:after="0"/>
              <w:rPr>
                <w:sz w:val="21"/>
                <w:szCs w:val="21"/>
                <w:color w:val="auto"/>
              </w:rPr>
            </w:pPr>
          </w:p>
        </w:tc>
      </w:tr>
      <w:tr>
        <w:trPr>
          <w:trHeight w:val="244"/>
        </w:trPr>
        <w:tc>
          <w:tcPr>
            <w:tcW w:w="64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Restructuring costs, net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w:t>
            </w:r>
          </w:p>
        </w:tc>
        <w:tc>
          <w:tcPr>
            <w:tcW w:w="80" w:type="dxa"/>
            <w:vAlign w:val="bottom"/>
          </w:tcPr>
          <w:p>
            <w:pPr>
              <w:spacing w:after="0"/>
              <w:rPr>
                <w:sz w:val="21"/>
                <w:szCs w:val="21"/>
                <w:color w:val="auto"/>
              </w:rPr>
            </w:pPr>
          </w:p>
        </w:tc>
      </w:tr>
      <w:tr>
        <w:trPr>
          <w:trHeight w:val="244"/>
        </w:trPr>
        <w:tc>
          <w:tcPr>
            <w:tcW w:w="64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200" w:type="dxa"/>
            <w:vAlign w:val="bottom"/>
            <w:tcBorders>
              <w:right w:val="single" w:sz="8" w:color="E1E1E1"/>
            </w:tcBorders>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8.8</w:t>
            </w:r>
          </w:p>
        </w:tc>
        <w:tc>
          <w:tcPr>
            <w:tcW w:w="3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6.7</w:t>
            </w:r>
          </w:p>
        </w:tc>
        <w:tc>
          <w:tcPr>
            <w:tcW w:w="2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9.1</w:t>
            </w:r>
          </w:p>
        </w:tc>
        <w:tc>
          <w:tcPr>
            <w:tcW w:w="80" w:type="dxa"/>
            <w:vAlign w:val="bottom"/>
            <w:shd w:val="clear" w:color="auto" w:fill="E1E1E1"/>
          </w:tcPr>
          <w:p>
            <w:pPr>
              <w:spacing w:after="0"/>
              <w:rPr>
                <w:sz w:val="21"/>
                <w:szCs w:val="21"/>
                <w:color w:val="auto"/>
              </w:rPr>
            </w:pPr>
          </w:p>
        </w:tc>
      </w:tr>
      <w:tr>
        <w:trPr>
          <w:trHeight w:val="244"/>
        </w:trPr>
        <w:tc>
          <w:tcPr>
            <w:tcW w:w="64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Transaction, transformation and integration costs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80" w:type="dxa"/>
            <w:vAlign w:val="bottom"/>
          </w:tcPr>
          <w:p>
            <w:pPr>
              <w:spacing w:after="0"/>
              <w:rPr>
                <w:sz w:val="21"/>
                <w:szCs w:val="21"/>
                <w:color w:val="auto"/>
              </w:rPr>
            </w:pPr>
          </w:p>
        </w:tc>
      </w:tr>
      <w:tr>
        <w:trPr>
          <w:trHeight w:val="244"/>
        </w:trPr>
        <w:tc>
          <w:tcPr>
            <w:tcW w:w="64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Acquisition accounting adjustments</w:t>
            </w:r>
          </w:p>
        </w:tc>
        <w:tc>
          <w:tcPr>
            <w:tcW w:w="200" w:type="dxa"/>
            <w:vAlign w:val="bottom"/>
            <w:tcBorders>
              <w:right w:val="single" w:sz="8" w:color="E4E4E4"/>
            </w:tcBorders>
            <w:shd w:val="clear" w:color="auto" w:fill="E4E4E4"/>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3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80" w:type="dxa"/>
            <w:vAlign w:val="bottom"/>
            <w:shd w:val="clear" w:color="auto" w:fill="E1E1E1"/>
          </w:tcPr>
          <w:p>
            <w:pPr>
              <w:spacing w:after="0"/>
              <w:rPr>
                <w:sz w:val="21"/>
                <w:szCs w:val="21"/>
                <w:color w:val="auto"/>
              </w:rPr>
            </w:pPr>
          </w:p>
        </w:tc>
      </w:tr>
      <w:tr>
        <w:trPr>
          <w:trHeight w:val="244"/>
        </w:trPr>
        <w:tc>
          <w:tcPr>
            <w:tcW w:w="64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Patent claims and litigation settlements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(3.5)</w:t>
            </w:r>
          </w:p>
        </w:tc>
      </w:tr>
      <w:tr>
        <w:trPr>
          <w:trHeight w:val="244"/>
        </w:trPr>
        <w:tc>
          <w:tcPr>
            <w:tcW w:w="64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Cyber incident costs</w:t>
            </w:r>
          </w:p>
        </w:tc>
        <w:tc>
          <w:tcPr>
            <w:tcW w:w="200" w:type="dxa"/>
            <w:vAlign w:val="bottom"/>
            <w:tcBorders>
              <w:right w:val="single" w:sz="8" w:color="E1E1E1"/>
            </w:tcBorders>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3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80" w:type="dxa"/>
            <w:vAlign w:val="bottom"/>
            <w:shd w:val="clear" w:color="auto" w:fill="E1E1E1"/>
          </w:tcPr>
          <w:p>
            <w:pPr>
              <w:spacing w:after="0"/>
              <w:rPr>
                <w:sz w:val="21"/>
                <w:szCs w:val="21"/>
                <w:color w:val="auto"/>
              </w:rPr>
            </w:pPr>
          </w:p>
        </w:tc>
      </w:tr>
      <w:tr>
        <w:trPr>
          <w:trHeight w:val="244"/>
        </w:trPr>
        <w:tc>
          <w:tcPr>
            <w:tcW w:w="64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Depreciation</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w:t>
            </w:r>
          </w:p>
        </w:tc>
        <w:tc>
          <w:tcPr>
            <w:tcW w:w="80" w:type="dxa"/>
            <w:vAlign w:val="bottom"/>
          </w:tcPr>
          <w:p>
            <w:pPr>
              <w:spacing w:after="0"/>
              <w:rPr>
                <w:sz w:val="21"/>
                <w:szCs w:val="21"/>
                <w:color w:val="auto"/>
              </w:rPr>
            </w:pPr>
          </w:p>
        </w:tc>
      </w:tr>
      <w:tr>
        <w:trPr>
          <w:trHeight w:val="244"/>
        </w:trPr>
        <w:tc>
          <w:tcPr>
            <w:tcW w:w="64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200" w:type="dxa"/>
            <w:vAlign w:val="bottom"/>
            <w:tcBorders>
              <w:right w:val="single" w:sz="8" w:color="E1E1E1"/>
            </w:tcBorders>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3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3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1E1E1"/>
          </w:tcPr>
          <w:p>
            <w:pPr>
              <w:spacing w:after="0"/>
              <w:rPr>
                <w:sz w:val="21"/>
                <w:szCs w:val="21"/>
                <w:color w:val="auto"/>
              </w:rPr>
            </w:pPr>
          </w:p>
        </w:tc>
        <w:tc>
          <w:tcPr>
            <w:tcW w:w="104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1E1E1E"/>
              </w:rPr>
              <w:t>Adjusted EBITDA</w:t>
            </w:r>
          </w:p>
        </w:tc>
        <w:tc>
          <w:tcPr>
            <w:tcW w:w="200" w:type="dxa"/>
            <w:vAlign w:val="bottom"/>
          </w:tcPr>
          <w:p>
            <w:pPr>
              <w:spacing w:after="0"/>
              <w:rPr>
                <w:sz w:val="20"/>
                <w:szCs w:val="20"/>
                <w:color w:val="auto"/>
              </w:rPr>
            </w:pPr>
          </w:p>
        </w:tc>
        <w:tc>
          <w:tcPr>
            <w:tcW w:w="200" w:type="dxa"/>
            <w:vAlign w:val="bottom"/>
            <w:tcBorders>
              <w:top w:val="single" w:sz="8" w:color="1E1E1E"/>
              <w:bottom w:val="single" w:sz="8" w:color="1E1E1E"/>
            </w:tcBorders>
          </w:tcPr>
          <w:p>
            <w:pPr>
              <w:jc w:val="right"/>
              <w:ind w:right="35"/>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127.5</w:t>
            </w:r>
          </w:p>
        </w:tc>
        <w:tc>
          <w:tcPr>
            <w:tcW w:w="300" w:type="dxa"/>
            <w:vAlign w:val="bottom"/>
          </w:tcPr>
          <w:p>
            <w:pPr>
              <w:spacing w:after="0"/>
              <w:rPr>
                <w:sz w:val="20"/>
                <w:szCs w:val="20"/>
                <w:color w:val="auto"/>
              </w:rPr>
            </w:pPr>
          </w:p>
        </w:tc>
        <w:tc>
          <w:tcPr>
            <w:tcW w:w="1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31.4</w:t>
            </w:r>
          </w:p>
        </w:tc>
        <w:tc>
          <w:tcPr>
            <w:tcW w:w="280" w:type="dxa"/>
            <w:vAlign w:val="bottom"/>
          </w:tcPr>
          <w:p>
            <w:pPr>
              <w:spacing w:after="0"/>
              <w:rPr>
                <w:sz w:val="20"/>
                <w:szCs w:val="20"/>
                <w:color w:val="auto"/>
              </w:rPr>
            </w:pPr>
          </w:p>
        </w:tc>
        <w:tc>
          <w:tcPr>
            <w:tcW w:w="280" w:type="dxa"/>
            <w:vAlign w:val="bottom"/>
            <w:tcBorders>
              <w:top w:val="single" w:sz="8" w:color="1E1E1E"/>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140.8</w:t>
            </w:r>
          </w:p>
        </w:tc>
        <w:tc>
          <w:tcPr>
            <w:tcW w:w="8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0" w:lineRule="exact"/>
        <w:rPr>
          <w:sz w:val="20"/>
          <w:szCs w:val="20"/>
          <w:color w:val="auto"/>
        </w:rPr>
      </w:pPr>
    </w:p>
    <w:p>
      <w:pPr>
        <w:ind w:left="480" w:hanging="480"/>
        <w:spacing w:after="0"/>
        <w:tabs>
          <w:tab w:leader="none" w:pos="480" w:val="left"/>
        </w:tabs>
        <w:numPr>
          <w:ilvl w:val="0"/>
          <w:numId w:val="4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Includes activity of the OneCell business for periods prior to its disposition.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Aurora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spacing w:after="0"/>
              <w:rPr>
                <w:sz w:val="17"/>
                <w:szCs w:val="17"/>
                <w:color w:val="auto"/>
              </w:rPr>
            </w:pPr>
          </w:p>
        </w:tc>
        <w:tc>
          <w:tcPr>
            <w:tcW w:w="2080" w:type="dxa"/>
            <w:vAlign w:val="bottom"/>
            <w:tcBorders>
              <w:bottom w:val="single" w:sz="8" w:color="1E1E1E"/>
            </w:tcBorders>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6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820" w:type="dxa"/>
            <w:vAlign w:val="bottom"/>
            <w:tcBorders>
              <w:bottom w:val="single" w:sz="8" w:color="1E1E1E"/>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00" w:type="dxa"/>
            <w:vAlign w:val="bottom"/>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1040" w:type="dxa"/>
            <w:vAlign w:val="bottom"/>
            <w:tcBorders>
              <w:bottom w:val="single" w:sz="8" w:color="1E1E1E"/>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80" w:type="dxa"/>
            <w:vAlign w:val="bottom"/>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960" w:type="dxa"/>
            <w:vAlign w:val="bottom"/>
            <w:tcBorders>
              <w:bottom w:val="single" w:sz="8" w:color="1E1E1E"/>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Pr>
          <w:p>
            <w:pPr>
              <w:spacing w:after="0"/>
              <w:rPr>
                <w:sz w:val="16"/>
                <w:szCs w:val="16"/>
                <w:color w:val="auto"/>
              </w:rPr>
            </w:pPr>
          </w:p>
        </w:tc>
      </w:tr>
      <w:tr>
        <w:trPr>
          <w:trHeight w:val="193"/>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64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income (loss)</w:t>
            </w:r>
          </w:p>
        </w:tc>
        <w:tc>
          <w:tcPr>
            <w:tcW w:w="4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123.7</w:t>
            </w:r>
          </w:p>
        </w:tc>
        <w:tc>
          <w:tcPr>
            <w:tcW w:w="4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(80.8)</w:t>
            </w: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(477.1)</w:t>
            </w:r>
          </w:p>
        </w:tc>
      </w:tr>
      <w:tr>
        <w:trPr>
          <w:trHeight w:val="244"/>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1E1E1E"/>
              </w:rPr>
              <w:t>Adjustments: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4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Amortization of purchased intangible assets</w:t>
            </w:r>
          </w:p>
        </w:tc>
        <w:tc>
          <w:tcPr>
            <w:tcW w:w="18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89.1</w:t>
            </w:r>
          </w:p>
        </w:tc>
        <w:tc>
          <w:tcPr>
            <w:tcW w:w="3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110.8</w:t>
            </w:r>
          </w:p>
        </w:tc>
        <w:tc>
          <w:tcPr>
            <w:tcW w:w="2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173.9</w:t>
            </w:r>
          </w:p>
        </w:tc>
        <w:tc>
          <w:tcPr>
            <w:tcW w:w="80" w:type="dxa"/>
            <w:vAlign w:val="bottom"/>
            <w:shd w:val="clear" w:color="auto" w:fill="E1E1E1"/>
          </w:tcPr>
          <w:p>
            <w:pPr>
              <w:spacing w:after="0"/>
              <w:rPr>
                <w:sz w:val="21"/>
                <w:szCs w:val="21"/>
                <w:color w:val="auto"/>
              </w:rPr>
            </w:pPr>
          </w:p>
        </w:tc>
      </w:tr>
      <w:tr>
        <w:trPr>
          <w:trHeight w:val="244"/>
        </w:trPr>
        <w:tc>
          <w:tcPr>
            <w:tcW w:w="64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Restructuring costs (credits), net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32.7</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(6.0)</w:t>
            </w:r>
          </w:p>
        </w:tc>
      </w:tr>
      <w:tr>
        <w:trPr>
          <w:trHeight w:val="244"/>
        </w:trPr>
        <w:tc>
          <w:tcPr>
            <w:tcW w:w="64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18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10.1</w:t>
            </w:r>
          </w:p>
        </w:tc>
        <w:tc>
          <w:tcPr>
            <w:tcW w:w="3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2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11.5</w:t>
            </w:r>
          </w:p>
        </w:tc>
        <w:tc>
          <w:tcPr>
            <w:tcW w:w="80" w:type="dxa"/>
            <w:vAlign w:val="bottom"/>
            <w:shd w:val="clear" w:color="auto" w:fill="E1E1E1"/>
          </w:tcPr>
          <w:p>
            <w:pPr>
              <w:spacing w:after="0"/>
              <w:rPr>
                <w:sz w:val="21"/>
                <w:szCs w:val="21"/>
                <w:color w:val="auto"/>
              </w:rPr>
            </w:pPr>
          </w:p>
        </w:tc>
      </w:tr>
      <w:tr>
        <w:trPr>
          <w:trHeight w:val="244"/>
        </w:trPr>
        <w:tc>
          <w:tcPr>
            <w:tcW w:w="64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Asset impairments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472.3</w:t>
            </w:r>
          </w:p>
        </w:tc>
        <w:tc>
          <w:tcPr>
            <w:tcW w:w="80" w:type="dxa"/>
            <w:vAlign w:val="bottom"/>
          </w:tcPr>
          <w:p>
            <w:pPr>
              <w:spacing w:after="0"/>
              <w:rPr>
                <w:sz w:val="21"/>
                <w:szCs w:val="21"/>
                <w:color w:val="auto"/>
              </w:rPr>
            </w:pPr>
          </w:p>
        </w:tc>
      </w:tr>
      <w:tr>
        <w:trPr>
          <w:trHeight w:val="244"/>
        </w:trPr>
        <w:tc>
          <w:tcPr>
            <w:tcW w:w="64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Transaction, transformation and integration costs</w:t>
            </w:r>
          </w:p>
        </w:tc>
        <w:tc>
          <w:tcPr>
            <w:tcW w:w="180" w:type="dxa"/>
            <w:vAlign w:val="bottom"/>
            <w:shd w:val="clear" w:color="auto" w:fill="E4E4E4"/>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3.7</w:t>
            </w:r>
          </w:p>
        </w:tc>
        <w:tc>
          <w:tcPr>
            <w:tcW w:w="3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17.5</w:t>
            </w:r>
          </w:p>
        </w:tc>
        <w:tc>
          <w:tcPr>
            <w:tcW w:w="2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17.3</w:t>
            </w:r>
          </w:p>
        </w:tc>
        <w:tc>
          <w:tcPr>
            <w:tcW w:w="80" w:type="dxa"/>
            <w:vAlign w:val="bottom"/>
            <w:shd w:val="clear" w:color="auto" w:fill="E1E1E1"/>
          </w:tcPr>
          <w:p>
            <w:pPr>
              <w:spacing w:after="0"/>
              <w:rPr>
                <w:sz w:val="21"/>
                <w:szCs w:val="21"/>
                <w:color w:val="auto"/>
              </w:rPr>
            </w:pPr>
          </w:p>
        </w:tc>
      </w:tr>
      <w:tr>
        <w:trPr>
          <w:trHeight w:val="244"/>
        </w:trPr>
        <w:tc>
          <w:tcPr>
            <w:tcW w:w="64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Acquisition accounting adjustments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0.2</w:t>
            </w:r>
          </w:p>
        </w:tc>
        <w:tc>
          <w:tcPr>
            <w:tcW w:w="80" w:type="dxa"/>
            <w:vAlign w:val="bottom"/>
          </w:tcPr>
          <w:p>
            <w:pPr>
              <w:spacing w:after="0"/>
              <w:rPr>
                <w:sz w:val="21"/>
                <w:szCs w:val="21"/>
                <w:color w:val="auto"/>
              </w:rPr>
            </w:pPr>
          </w:p>
        </w:tc>
      </w:tr>
      <w:tr>
        <w:trPr>
          <w:trHeight w:val="244"/>
        </w:trPr>
        <w:tc>
          <w:tcPr>
            <w:tcW w:w="64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Cyber incident costs</w:t>
            </w:r>
          </w:p>
        </w:tc>
        <w:tc>
          <w:tcPr>
            <w:tcW w:w="18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3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80" w:type="dxa"/>
            <w:vAlign w:val="bottom"/>
            <w:shd w:val="clear" w:color="auto" w:fill="E1E1E1"/>
          </w:tcPr>
          <w:p>
            <w:pPr>
              <w:spacing w:after="0"/>
              <w:rPr>
                <w:sz w:val="21"/>
                <w:szCs w:val="21"/>
                <w:color w:val="auto"/>
              </w:rPr>
            </w:pPr>
          </w:p>
        </w:tc>
      </w:tr>
      <w:tr>
        <w:trPr>
          <w:trHeight w:val="244"/>
        </w:trPr>
        <w:tc>
          <w:tcPr>
            <w:tcW w:w="6460" w:type="dxa"/>
            <w:vAlign w:val="bottom"/>
            <w:tcBorders>
              <w:bottom w:val="single" w:sz="8" w:color="E1E1E1"/>
            </w:tcBorders>
          </w:tcPr>
          <w:p>
            <w:pPr>
              <w:ind w:left="200"/>
              <w:spacing w:after="0"/>
              <w:rPr>
                <w:sz w:val="20"/>
                <w:szCs w:val="20"/>
                <w:color w:val="auto"/>
              </w:rPr>
            </w:pPr>
            <w:r>
              <w:rPr>
                <w:rFonts w:ascii="Times New Roman" w:cs="Times New Roman" w:eastAsia="Times New Roman" w:hAnsi="Times New Roman"/>
                <w:sz w:val="20"/>
                <w:szCs w:val="20"/>
                <w:color w:val="1E1E1E"/>
              </w:rPr>
              <w:t>Depreciation</w:t>
            </w:r>
          </w:p>
        </w:tc>
        <w:tc>
          <w:tcPr>
            <w:tcW w:w="180" w:type="dxa"/>
            <w:vAlign w:val="bottom"/>
            <w:tcBorders>
              <w:bottom w:val="single" w:sz="8" w:color="E1E1E1"/>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300" w:type="dxa"/>
            <w:vAlign w:val="bottom"/>
            <w:tcBorders>
              <w:bottom w:val="single" w:sz="8" w:color="E1E1E1"/>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18.5</w:t>
            </w:r>
          </w:p>
        </w:tc>
        <w:tc>
          <w:tcPr>
            <w:tcW w:w="280" w:type="dxa"/>
            <w:vAlign w:val="bottom"/>
            <w:tcBorders>
              <w:bottom w:val="single" w:sz="8" w:color="E1E1E1"/>
            </w:tcBorders>
          </w:tcPr>
          <w:p>
            <w:pPr>
              <w:spacing w:after="0"/>
              <w:rPr>
                <w:sz w:val="21"/>
                <w:szCs w:val="21"/>
                <w:color w:val="auto"/>
              </w:rPr>
            </w:pPr>
          </w:p>
        </w:tc>
        <w:tc>
          <w:tcPr>
            <w:tcW w:w="280" w:type="dxa"/>
            <w:vAlign w:val="bottom"/>
            <w:tcBorders>
              <w:bottom w:val="single" w:sz="8" w:color="1E1E1E"/>
            </w:tcBorders>
          </w:tcPr>
          <w:p>
            <w:pPr>
              <w:spacing w:after="0"/>
              <w:rPr>
                <w:sz w:val="21"/>
                <w:szCs w:val="21"/>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23.4</w:t>
            </w:r>
          </w:p>
        </w:tc>
        <w:tc>
          <w:tcPr>
            <w:tcW w:w="80" w:type="dxa"/>
            <w:vAlign w:val="bottom"/>
            <w:tcBorders>
              <w:bottom w:val="single" w:sz="8" w:color="E1E1E1"/>
            </w:tcBorders>
          </w:tcPr>
          <w:p>
            <w:pPr>
              <w:spacing w:after="0"/>
              <w:rPr>
                <w:sz w:val="21"/>
                <w:szCs w:val="21"/>
                <w:color w:val="auto"/>
              </w:rPr>
            </w:pPr>
          </w:p>
        </w:tc>
      </w:tr>
      <w:tr>
        <w:trPr>
          <w:trHeight w:val="239"/>
        </w:trPr>
        <w:tc>
          <w:tcPr>
            <w:tcW w:w="64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Adjusted EBITDA</w:t>
            </w:r>
          </w:p>
        </w:tc>
        <w:tc>
          <w:tcPr>
            <w:tcW w:w="180" w:type="dxa"/>
            <w:vAlign w:val="bottom"/>
            <w:shd w:val="clear" w:color="auto" w:fill="E1E1E1"/>
          </w:tcPr>
          <w:p>
            <w:pPr>
              <w:spacing w:after="0"/>
              <w:rPr>
                <w:sz w:val="20"/>
                <w:szCs w:val="20"/>
                <w:color w:val="auto"/>
              </w:rPr>
            </w:pPr>
          </w:p>
        </w:tc>
        <w:tc>
          <w:tcPr>
            <w:tcW w:w="220" w:type="dxa"/>
            <w:vAlign w:val="bottom"/>
            <w:tcBorders>
              <w:bottom w:val="single" w:sz="8" w:color="1E1E1E"/>
            </w:tcBorders>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251.9</w:t>
            </w:r>
          </w:p>
        </w:tc>
        <w:tc>
          <w:tcPr>
            <w:tcW w:w="300" w:type="dxa"/>
            <w:vAlign w:val="bottom"/>
            <w:shd w:val="clear" w:color="auto" w:fill="E1E1E1"/>
          </w:tcPr>
          <w:p>
            <w:pPr>
              <w:spacing w:after="0"/>
              <w:rPr>
                <w:sz w:val="20"/>
                <w:szCs w:val="20"/>
                <w:color w:val="auto"/>
              </w:rPr>
            </w:pPr>
          </w:p>
        </w:tc>
        <w:tc>
          <w:tcPr>
            <w:tcW w:w="1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106.0</w:t>
            </w:r>
          </w:p>
        </w:tc>
        <w:tc>
          <w:tcPr>
            <w:tcW w:w="280" w:type="dxa"/>
            <w:vAlign w:val="bottom"/>
            <w:shd w:val="clear" w:color="auto" w:fill="E1E1E1"/>
          </w:tcPr>
          <w:p>
            <w:pPr>
              <w:spacing w:after="0"/>
              <w:rPr>
                <w:sz w:val="20"/>
                <w:szCs w:val="20"/>
                <w:color w:val="auto"/>
              </w:rPr>
            </w:pPr>
          </w:p>
        </w:tc>
        <w:tc>
          <w:tcPr>
            <w:tcW w:w="280" w:type="dxa"/>
            <w:vAlign w:val="bottom"/>
            <w:tcBorders>
              <w:bottom w:val="single" w:sz="8" w:color="1E1E1E"/>
            </w:tcBorders>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216.7</w:t>
            </w:r>
          </w:p>
        </w:tc>
        <w:tc>
          <w:tcPr>
            <w:tcW w:w="80" w:type="dxa"/>
            <w:vAlign w:val="bottom"/>
            <w:shd w:val="clear" w:color="auto" w:fill="E1E1E1"/>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Note: Components may not sum to total due to rounding.</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49</w:t>
      </w:r>
    </w:p>
    <w:p>
      <w:pPr>
        <w:sectPr>
          <w:pgSz w:w="11880" w:h="15480" w:orient="portrait"/>
          <w:cols w:equalWidth="0" w:num="1">
            <w:col w:w="10800"/>
          </w:cols>
          <w:pgMar w:left="540" w:top="1235" w:right="54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1E1E1E"/>
        </w:rPr>
        <w:t>CRITICAL ACCOUNTING POLICIES AND ESTIMATES</w:t>
      </w:r>
    </w:p>
    <w:p>
      <w:pPr>
        <w:spacing w:after="0" w:line="12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Our consolidated financial statements have been prepared in conformity with generally accepted accounting principles (GAAP) in the United States (U.S.). The preparation of these financial statements requires management to make estimates and assumptions that affect the amounts reported in the financial statements and accompanying notes. These estimates and their underlying assumptions form the basis for making judgments about the carrying values of assets and liabilities that are not readily apparent from other objective sources. Management bases its estimates on historical experience and on assumptions that are believed to be reasonable under the circumstances and revises its estimates, as appropriate, when changes in events or circumstances indicate that revisions may be necessary.</w:t>
      </w:r>
    </w:p>
    <w:p>
      <w:pPr>
        <w:spacing w:after="0" w:line="200" w:lineRule="exact"/>
        <w:rPr>
          <w:sz w:val="20"/>
          <w:szCs w:val="20"/>
          <w:color w:val="auto"/>
        </w:rPr>
      </w:pPr>
    </w:p>
    <w:p>
      <w:pPr>
        <w:jc w:val="both"/>
        <w:ind w:right="140"/>
        <w:spacing w:after="0" w:line="249" w:lineRule="auto"/>
        <w:rPr>
          <w:sz w:val="20"/>
          <w:szCs w:val="20"/>
          <w:color w:val="auto"/>
        </w:rPr>
      </w:pPr>
      <w:r>
        <w:rPr>
          <w:rFonts w:ascii="Times New Roman" w:cs="Times New Roman" w:eastAsia="Times New Roman" w:hAnsi="Times New Roman"/>
          <w:sz w:val="20"/>
          <w:szCs w:val="20"/>
          <w:color w:val="1E1E1E"/>
        </w:rPr>
        <w:t>The following critical accounting policies and estimates reflected in our financial statements are based on management’s knowledge of and experience with past and current events and on management’s assumptions about future events. While we have generally not experienced significant deviations from our critical estimates in the past, it is reasonably possible that these estimates may ultimately differ materially from actual results. See Note 2 in the Notes to Consolidated Financial Statements included elsewhere in this Annual Report on Form 10-K for a description of all our significant accounting policies.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Asset Impairment Reviews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Impairment Reviews of Goodwill</w:t>
      </w:r>
    </w:p>
    <w:p>
      <w:pPr>
        <w:spacing w:after="0" w:line="117"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20"/>
          <w:szCs w:val="20"/>
          <w:color w:val="1E1E1E"/>
        </w:rPr>
        <w:t>We test goodwill at the reporting unit level for impairment annually as of October 1 and on an interim basis when events occur or circumstances exist that indicate the carrying value may no longer be recoverable.</w:t>
      </w:r>
    </w:p>
    <w:p>
      <w:pPr>
        <w:spacing w:after="0" w:line="1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1E1E1E"/>
        </w:rPr>
        <w:t>We may first elect to perform a qualitative evaluation to determine whether it is more likely than not that the fair value of a reporting unit is less than its carrying amount. The qualitative assessment considers, among other factors, macroeconomic conditions, industry</w:t>
      </w:r>
    </w:p>
    <w:p>
      <w:pPr>
        <w:spacing w:after="0" w:line="230" w:lineRule="exact"/>
        <w:rPr>
          <w:sz w:val="20"/>
          <w:szCs w:val="20"/>
          <w:color w:val="auto"/>
        </w:rPr>
      </w:pPr>
      <w:r>
        <w:rPr>
          <w:rFonts w:ascii="Times New Roman" w:cs="Times New Roman" w:eastAsia="Times New Roman" w:hAnsi="Times New Roman"/>
          <w:sz w:val="20"/>
          <w:szCs w:val="20"/>
          <w:color w:val="1E1E1E"/>
        </w:rPr>
        <w:t>and market considerations, cost factors, overall financial performance, changes in management or strategy, and other entity</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specific</w:t>
      </w:r>
    </w:p>
    <w:p>
      <w:pPr>
        <w:spacing w:after="0" w:line="1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events. If, based on the qualitative assessment, we determine that it is more likely than not that the fair value of a reporting unit is less than its carrying amount, or if we elect to bypass the qualitative assessment, we perform a quantitative impairment test. The quantitative test compares the estimated fair value of our reporting units with the carrying amount, including goodwill. We recognize an impairment charge for the amount by which the reporting unit’s carrying amount exceeds its fair value.</w:t>
      </w:r>
    </w:p>
    <w:p>
      <w:pPr>
        <w:spacing w:after="0" w:line="19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1E1E1E"/>
        </w:rPr>
        <w:t>We estimate the fair value of a reporting unit using a discounted cash flow (DCF) method or, as appropriate, a combination of the DCF method and a market approach known as the guideline public company method. Under the DCF method, we calculate the fair value of a reporting unit based on the present value of estimated future cash flows. The significant assumptions in the DCF model primarily include, but are not limited to, forecasts of annual revenue growth rates, annual EBITDA margin and the discount rate used to determine the present value of the cash flow projections. When determining these assumptions and preparing these estimates, we consider historical performance trends, terminal growth rates, industry data, insight derived from customers, relevant changes in the reporting unit’s underlying business and other market trends that may affect the reporting unit. The discount rate is based on the estimated weighted average cost of capital as of the test date of market participants in the industry in which the reporting unit operates and is commensurate with the risk and uncertainty inherent in each reporting unit and in internally developed forecasts. Under the guideline public company method, we estimate the fair value based upon market multiples of revenue and earnings derived from publicly-traded companies with similar operating and investment characteristics as the reporting unit. The weighting of the fair value derived from the market approach may vary depending on the level of comparability of these publicly-traded companies to the reporting unit. When comparable public companies are not meaningful or not available, we may estimate the fair value of a reporting unit using only the DCF method.</w:t>
      </w:r>
    </w:p>
    <w:p>
      <w:pPr>
        <w:spacing w:after="0" w:line="20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1E1E1E"/>
        </w:rPr>
        <w:t>Estimating the fair value of a reporting unit involves uncertainties because it requires management to develop numerous assumptions, including assumptions about the future growth and potential volatility in revenues and costs, capital expenditures, industry economic factors and future business strategy. Changes in projected revenue growth rates, projected EBITDA margins or estimated discount rates due to uncertain market conditions, loss of one or more key customers, changes in our strategy, changes in technology or other factors could negatively affect the fair value in one or more of our reporting units and result in a material impairment charge in the future.</w:t>
      </w:r>
    </w:p>
    <w:p>
      <w:pPr>
        <w:sectPr>
          <w:pgSz w:w="11880" w:h="15480" w:orient="portrait"/>
          <w:cols w:equalWidth="0" w:num="1">
            <w:col w:w="10780"/>
          </w:cols>
          <w:pgMar w:left="540" w:top="123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50</w:t>
      </w:r>
    </w:p>
    <w:p>
      <w:pPr>
        <w:sectPr>
          <w:pgSz w:w="11880" w:h="15480" w:orient="portrait"/>
          <w:cols w:equalWidth="0" w:num="1">
            <w:col w:w="10780"/>
          </w:cols>
          <w:pgMar w:left="540" w:top="1235" w:right="560" w:bottom="0" w:gutter="0" w:footer="0" w:header="0"/>
          <w:type w:val="continuous"/>
        </w:sectPr>
      </w:pPr>
    </w:p>
    <w:bookmarkStart w:id="60" w:name="page61"/>
    <w:bookmarkEnd w:id="60"/>
    <w:p>
      <w:pPr>
        <w:ind w:right="140"/>
        <w:spacing w:after="0" w:line="253" w:lineRule="auto"/>
        <w:rPr>
          <w:sz w:val="20"/>
          <w:szCs w:val="20"/>
          <w:color w:val="auto"/>
        </w:rPr>
      </w:pPr>
      <w:r>
        <w:rPr>
          <w:rFonts w:ascii="Times New Roman" w:cs="Times New Roman" w:eastAsia="Times New Roman" w:hAnsi="Times New Roman"/>
          <w:sz w:val="20"/>
          <w:szCs w:val="20"/>
          <w:color w:val="1E1E1E"/>
        </w:rPr>
        <w:t>To assess the reasonableness of the calculated fair values of our reporting units, we also compare the sum of the reporting units’ fair values to our market capitalization and calculate an implied control premium (the excess of the sum of the reporting units’ fair values over the market capitalization). If the implied control premium is not reasonable, we will reevaluate the fair value estimates of the reporting units by adjusting the discount rates and/or other assumptions.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2025 Annual Goodwill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Annual Test</w:t>
      </w:r>
    </w:p>
    <w:p>
      <w:pPr>
        <w:spacing w:after="0" w:line="12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1E1E1E"/>
        </w:rPr>
        <w:t>Goodwill is tested for impairment annually or at other times if events have occurred or circumstances exist that indicate the carrying value of the reporting unit may exceed its fair value. The annual test of goodwill impairment was performed for each of the reporting units with goodwill balances as of October 1, 2025. For reporting units within the CCS segment, management elected to perform a qualitative assessment to determine whether it was more likely than not that the fair value of the reporting units was less than their carrying amounts. Based on this qualitative assessment, we concluded that no goodwill impairment existed for these reporting units and that a quantitative impairment test was not required. For our remaining reporting units, we determined the fair value of each reporting unit using the DCF model and a guideline public company approach, with 75% of the value determined using the DCF model and 25% of the value determined using the market approach. The discount rates used in our annual test for the year ended December 31, 2025 were 13.0% and 13.5% for Aurora and RUCKUS, respectively. We determined that the fair value of the reporting units exceeded the carrying value and that no impairment existed.</w:t>
      </w:r>
    </w:p>
    <w:p>
      <w:pPr>
        <w:spacing w:after="0" w:line="20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Considering the low headroom going forward for the Aurora reporting unit, there is a risk for future impairment in the event of further declines in general economic, market or business conditions or any significant unfavorable change in the forecasted cash flows, weighted average cost of capital or growth rates. If current and long-term projections for the Aurora reporting unit is not realized or decrease materially, we may be required to recognize additional goodwill impairment charges, and these charges could be material to our results of operations.</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The following table provides summary information regarding our reporting units with goodwill balances as of December 31, 2025 that have the lowest level of headroom. The table presents key assumptions used in our annual goodwill analysis, along with sensitivity analysis showing the effect of a change in certain key assumptions, assuming all other assumptions remain constant, to the resulting fair value using an income approach.</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bottom w:val="single" w:sz="8" w:color="1E1E1E"/>
            </w:tcBorders>
            <w:gridSpan w:val="3"/>
          </w:tcPr>
          <w:p>
            <w:pPr>
              <w:ind w:left="400"/>
              <w:spacing w:after="0"/>
              <w:rPr>
                <w:sz w:val="20"/>
                <w:szCs w:val="20"/>
                <w:color w:val="auto"/>
              </w:rPr>
            </w:pPr>
            <w:r>
              <w:rPr>
                <w:rFonts w:ascii="Times New Roman" w:cs="Times New Roman" w:eastAsia="Times New Roman" w:hAnsi="Times New Roman"/>
                <w:sz w:val="17"/>
                <w:szCs w:val="17"/>
                <w:b w:val="1"/>
                <w:bCs w:val="1"/>
                <w:color w:val="1E1E1E"/>
              </w:rPr>
              <w:t>Key Assumptions</w:t>
            </w:r>
          </w:p>
        </w:tc>
        <w:tc>
          <w:tcPr>
            <w:tcW w:w="240" w:type="dxa"/>
            <w:vAlign w:val="bottom"/>
            <w:tcBorders>
              <w:bottom w:val="single" w:sz="8" w:color="1E1E1E"/>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1E1E1E"/>
              </w:rPr>
              <w:t>Goodwill</w:t>
            </w:r>
          </w:p>
        </w:tc>
        <w:tc>
          <w:tcPr>
            <w:tcW w:w="560" w:type="dxa"/>
            <w:vAlign w:val="bottom"/>
            <w:tcBorders>
              <w:bottom w:val="single" w:sz="8" w:color="1E1E1E"/>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1E1E1E"/>
            </w:tcBorders>
          </w:tcPr>
          <w:p>
            <w:pPr>
              <w:spacing w:after="0"/>
              <w:rPr>
                <w:sz w:val="18"/>
                <w:szCs w:val="18"/>
                <w:color w:val="auto"/>
              </w:rPr>
            </w:pPr>
          </w:p>
        </w:tc>
        <w:tc>
          <w:tcPr>
            <w:tcW w:w="3820" w:type="dxa"/>
            <w:vAlign w:val="bottom"/>
            <w:tcBorders>
              <w:bottom w:val="single" w:sz="8" w:color="1E1E1E"/>
            </w:tcBorders>
            <w:gridSpan w:val="8"/>
          </w:tcPr>
          <w:p>
            <w:pPr>
              <w:ind w:left="920"/>
              <w:spacing w:after="0"/>
              <w:rPr>
                <w:sz w:val="20"/>
                <w:szCs w:val="20"/>
                <w:color w:val="auto"/>
              </w:rPr>
            </w:pPr>
            <w:r>
              <w:rPr>
                <w:rFonts w:ascii="Times New Roman" w:cs="Times New Roman" w:eastAsia="Times New Roman" w:hAnsi="Times New Roman"/>
                <w:sz w:val="17"/>
                <w:szCs w:val="17"/>
                <w:b w:val="1"/>
                <w:bCs w:val="1"/>
                <w:color w:val="1E1E1E"/>
              </w:rPr>
              <w:t>Excess of Fair Value to Carrying Value</w:t>
            </w:r>
          </w:p>
        </w:tc>
        <w:tc>
          <w:tcPr>
            <w:tcW w:w="100" w:type="dxa"/>
            <w:vAlign w:val="bottom"/>
            <w:tcBorders>
              <w:bottom w:val="single" w:sz="8" w:color="1E1E1E"/>
            </w:tcBorders>
          </w:tcPr>
          <w:p>
            <w:pPr>
              <w:spacing w:after="0"/>
              <w:rPr>
                <w:sz w:val="18"/>
                <w:szCs w:val="18"/>
                <w:color w:val="auto"/>
              </w:rPr>
            </w:pPr>
          </w:p>
        </w:tc>
        <w:tc>
          <w:tcPr>
            <w:tcW w:w="900" w:type="dxa"/>
            <w:vAlign w:val="bottom"/>
            <w:tcBorders>
              <w:bottom w:val="single" w:sz="8" w:color="1E1E1E"/>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1E1E1E"/>
              </w:rPr>
              <w:t>(dollars in millions)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b w:val="1"/>
                <w:bCs w:val="1"/>
                <w:color w:val="1E1E1E"/>
              </w:rPr>
              <w:t>Increase of</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Result of Interim</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1E1E1E"/>
              </w:rPr>
              <w:t>Decrease of</w:t>
            </w: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b w:val="1"/>
                <w:bCs w:val="1"/>
                <w:color w:val="1E1E1E"/>
                <w:w w:val="99"/>
              </w:rPr>
              <w:t>Terminal</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4"/>
          </w:tcPr>
          <w:p>
            <w:pPr>
              <w:jc w:val="center"/>
              <w:ind w:right="280"/>
              <w:spacing w:after="0"/>
              <w:rPr>
                <w:sz w:val="20"/>
                <w:szCs w:val="20"/>
                <w:color w:val="auto"/>
              </w:rPr>
            </w:pPr>
            <w:r>
              <w:rPr>
                <w:rFonts w:ascii="Times New Roman" w:cs="Times New Roman" w:eastAsia="Times New Roman" w:hAnsi="Times New Roman"/>
                <w:sz w:val="17"/>
                <w:szCs w:val="17"/>
                <w:b w:val="1"/>
                <w:bCs w:val="1"/>
                <w:color w:val="1E1E1E"/>
              </w:rPr>
              <w:t>Balance as of</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1E1E1E"/>
                <w:w w:val="95"/>
              </w:rPr>
              <w:t>% of</w:t>
            </w:r>
          </w:p>
        </w:tc>
        <w:tc>
          <w:tcPr>
            <w:tcW w:w="8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Goodwill Test as</w:t>
            </w:r>
          </w:p>
        </w:tc>
        <w:tc>
          <w:tcPr>
            <w:tcW w:w="20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1E1E1E"/>
              </w:rPr>
              <w:t>Decrease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1E1E1E"/>
                <w:w w:val="98"/>
              </w:rPr>
              <w:t>0.5% in</w:t>
            </w:r>
          </w:p>
        </w:tc>
        <w:tc>
          <w:tcPr>
            <w:tcW w:w="10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1E1E1E"/>
                <w:w w:val="98"/>
              </w:rPr>
              <w:t>0.5% in</w:t>
            </w:r>
          </w:p>
        </w:tc>
        <w:tc>
          <w:tcPr>
            <w:tcW w:w="0" w:type="dxa"/>
            <w:vAlign w:val="bottom"/>
          </w:tcPr>
          <w:p>
            <w:pPr>
              <w:spacing w:after="0"/>
              <w:rPr>
                <w:sz w:val="1"/>
                <w:szCs w:val="1"/>
                <w:color w:val="auto"/>
              </w:rPr>
            </w:pPr>
          </w:p>
        </w:tc>
      </w:tr>
      <w:tr>
        <w:trPr>
          <w:trHeight w:val="195"/>
        </w:trPr>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1E1E1E"/>
              </w:rPr>
              <w:t>Reporting</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1E1E1E"/>
                <w:w w:val="99"/>
              </w:rPr>
              <w:t>Discount</w:t>
            </w:r>
          </w:p>
        </w:tc>
        <w:tc>
          <w:tcPr>
            <w:tcW w:w="880" w:type="dxa"/>
            <w:vAlign w:val="bottom"/>
          </w:tcPr>
          <w:p>
            <w:pPr>
              <w:jc w:val="center"/>
              <w:ind w:left="135"/>
              <w:spacing w:after="0"/>
              <w:rPr>
                <w:sz w:val="20"/>
                <w:szCs w:val="20"/>
                <w:color w:val="auto"/>
              </w:rPr>
            </w:pPr>
            <w:r>
              <w:rPr>
                <w:rFonts w:ascii="Times New Roman" w:cs="Times New Roman" w:eastAsia="Times New Roman" w:hAnsi="Times New Roman"/>
                <w:sz w:val="17"/>
                <w:szCs w:val="17"/>
                <w:b w:val="1"/>
                <w:bCs w:val="1"/>
                <w:color w:val="1E1E1E"/>
              </w:rPr>
              <w:t>Growth</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b w:val="1"/>
                <w:bCs w:val="1"/>
                <w:color w:val="1E1E1E"/>
                <w:w w:val="98"/>
              </w:rPr>
              <w:t>December 31,</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1E1E1E"/>
                <w:w w:val="97"/>
              </w:rPr>
              <w:t>Total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1E1E1E"/>
              </w:rPr>
              <w:t>of October 1,</w:t>
            </w:r>
          </w:p>
        </w:tc>
        <w:tc>
          <w:tcPr>
            <w:tcW w:w="20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1E1E1E"/>
              </w:rPr>
              <w:t>10% in Cash</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1E1E1E"/>
                <w:w w:val="99"/>
              </w:rPr>
              <w:t>Long-term</w:t>
            </w:r>
          </w:p>
        </w:tc>
        <w:tc>
          <w:tcPr>
            <w:tcW w:w="10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1E1E1E"/>
                <w:w w:val="99"/>
              </w:rPr>
              <w:t>Discount</w:t>
            </w:r>
          </w:p>
        </w:tc>
        <w:tc>
          <w:tcPr>
            <w:tcW w:w="0" w:type="dxa"/>
            <w:vAlign w:val="bottom"/>
          </w:tcPr>
          <w:p>
            <w:pPr>
              <w:spacing w:after="0"/>
              <w:rPr>
                <w:sz w:val="1"/>
                <w:szCs w:val="1"/>
                <w:color w:val="auto"/>
              </w:rPr>
            </w:pPr>
          </w:p>
        </w:tc>
      </w:tr>
      <w:tr>
        <w:trPr>
          <w:trHeight w:val="216"/>
        </w:trPr>
        <w:tc>
          <w:tcPr>
            <w:tcW w:w="11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Unit</w:t>
            </w:r>
          </w:p>
        </w:tc>
        <w:tc>
          <w:tcPr>
            <w:tcW w:w="160" w:type="dxa"/>
            <w:vAlign w:val="bottom"/>
            <w:tcBorders>
              <w:bottom w:val="single" w:sz="8" w:color="E1E1E1"/>
            </w:tcBorders>
          </w:tcPr>
          <w:p>
            <w:pPr>
              <w:spacing w:after="0"/>
              <w:rPr>
                <w:sz w:val="18"/>
                <w:szCs w:val="18"/>
                <w:color w:val="auto"/>
              </w:rPr>
            </w:pPr>
          </w:p>
        </w:tc>
        <w:tc>
          <w:tcPr>
            <w:tcW w:w="6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Rate</w:t>
            </w:r>
          </w:p>
        </w:tc>
        <w:tc>
          <w:tcPr>
            <w:tcW w:w="300" w:type="dxa"/>
            <w:vAlign w:val="bottom"/>
            <w:tcBorders>
              <w:bottom w:val="single" w:sz="8" w:color="E1E1E1"/>
            </w:tcBorders>
          </w:tcPr>
          <w:p>
            <w:pPr>
              <w:spacing w:after="0"/>
              <w:rPr>
                <w:sz w:val="18"/>
                <w:szCs w:val="18"/>
                <w:color w:val="auto"/>
              </w:rPr>
            </w:pPr>
          </w:p>
        </w:tc>
        <w:tc>
          <w:tcPr>
            <w:tcW w:w="880" w:type="dxa"/>
            <w:vAlign w:val="bottom"/>
            <w:tcBorders>
              <w:bottom w:val="single" w:sz="8" w:color="1E1E1E"/>
            </w:tcBorders>
          </w:tcPr>
          <w:p>
            <w:pPr>
              <w:jc w:val="center"/>
              <w:ind w:left="135"/>
              <w:spacing w:after="0"/>
              <w:rPr>
                <w:sz w:val="20"/>
                <w:szCs w:val="20"/>
                <w:color w:val="auto"/>
              </w:rPr>
            </w:pPr>
            <w:r>
              <w:rPr>
                <w:rFonts w:ascii="Times New Roman" w:cs="Times New Roman" w:eastAsia="Times New Roman" w:hAnsi="Times New Roman"/>
                <w:sz w:val="17"/>
                <w:szCs w:val="17"/>
                <w:b w:val="1"/>
                <w:bCs w:val="1"/>
                <w:color w:val="1E1E1E"/>
                <w:w w:val="99"/>
              </w:rPr>
              <w:t>Rate</w:t>
            </w:r>
          </w:p>
        </w:tc>
        <w:tc>
          <w:tcPr>
            <w:tcW w:w="240" w:type="dxa"/>
            <w:vAlign w:val="bottom"/>
            <w:tcBorders>
              <w:bottom w:val="single" w:sz="8" w:color="1E1E1E"/>
            </w:tcBorders>
          </w:tcPr>
          <w:p>
            <w:pPr>
              <w:spacing w:after="0"/>
              <w:rPr>
                <w:sz w:val="18"/>
                <w:szCs w:val="18"/>
                <w:color w:val="auto"/>
              </w:rPr>
            </w:pPr>
          </w:p>
        </w:tc>
        <w:tc>
          <w:tcPr>
            <w:tcW w:w="300" w:type="dxa"/>
            <w:vAlign w:val="bottom"/>
            <w:tcBorders>
              <w:bottom w:val="single" w:sz="8" w:color="E1E1E1"/>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1E1E1E"/>
                <w:w w:val="99"/>
              </w:rPr>
              <w:t>2025</w:t>
            </w:r>
          </w:p>
        </w:tc>
        <w:tc>
          <w:tcPr>
            <w:tcW w:w="200" w:type="dxa"/>
            <w:vAlign w:val="bottom"/>
            <w:tcBorders>
              <w:bottom w:val="single" w:sz="8" w:color="E1E1E1"/>
            </w:tcBorders>
          </w:tcPr>
          <w:p>
            <w:pPr>
              <w:spacing w:after="0"/>
              <w:rPr>
                <w:sz w:val="18"/>
                <w:szCs w:val="18"/>
                <w:color w:val="auto"/>
              </w:rPr>
            </w:pPr>
          </w:p>
        </w:tc>
        <w:tc>
          <w:tcPr>
            <w:tcW w:w="40" w:type="dxa"/>
            <w:vAlign w:val="bottom"/>
            <w:tcBorders>
              <w:bottom w:val="single" w:sz="8" w:color="1E1E1E"/>
            </w:tcBorders>
          </w:tcPr>
          <w:p>
            <w:pPr>
              <w:spacing w:after="0"/>
              <w:rPr>
                <w:sz w:val="18"/>
                <w:szCs w:val="18"/>
                <w:color w:val="auto"/>
              </w:rPr>
            </w:pPr>
          </w:p>
        </w:tc>
        <w:tc>
          <w:tcPr>
            <w:tcW w:w="5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7"/>
                <w:szCs w:val="17"/>
                <w:b w:val="1"/>
                <w:bCs w:val="1"/>
                <w:color w:val="1E1E1E"/>
              </w:rPr>
              <w:t>Assets</w:t>
            </w:r>
          </w:p>
        </w:tc>
        <w:tc>
          <w:tcPr>
            <w:tcW w:w="220" w:type="dxa"/>
            <w:vAlign w:val="bottom"/>
            <w:tcBorders>
              <w:bottom w:val="single" w:sz="8" w:color="E1E1E1"/>
            </w:tcBorders>
          </w:tcPr>
          <w:p>
            <w:pPr>
              <w:spacing w:after="0"/>
              <w:rPr>
                <w:sz w:val="18"/>
                <w:szCs w:val="18"/>
                <w:color w:val="auto"/>
              </w:rPr>
            </w:pPr>
          </w:p>
        </w:tc>
        <w:tc>
          <w:tcPr>
            <w:tcW w:w="80" w:type="dxa"/>
            <w:vAlign w:val="bottom"/>
            <w:tcBorders>
              <w:bottom w:val="single" w:sz="8" w:color="E1E1E1"/>
            </w:tcBorders>
          </w:tcPr>
          <w:p>
            <w:pPr>
              <w:spacing w:after="0"/>
              <w:rPr>
                <w:sz w:val="18"/>
                <w:szCs w:val="18"/>
                <w:color w:val="auto"/>
              </w:rPr>
            </w:pPr>
          </w:p>
        </w:tc>
        <w:tc>
          <w:tcPr>
            <w:tcW w:w="120" w:type="dxa"/>
            <w:vAlign w:val="bottom"/>
            <w:tcBorders>
              <w:bottom w:val="single" w:sz="8" w:color="1E1E1E"/>
            </w:tcBorders>
          </w:tcPr>
          <w:p>
            <w:pPr>
              <w:spacing w:after="0"/>
              <w:rPr>
                <w:sz w:val="18"/>
                <w:szCs w:val="18"/>
                <w:color w:val="auto"/>
              </w:rPr>
            </w:pPr>
          </w:p>
        </w:tc>
        <w:tc>
          <w:tcPr>
            <w:tcW w:w="1180" w:type="dxa"/>
            <w:vAlign w:val="bottom"/>
            <w:tcBorders>
              <w:bottom w:val="single" w:sz="8" w:color="1E1E1E"/>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1E1E1E"/>
                <w:w w:val="99"/>
              </w:rPr>
              <w:t>2025</w:t>
            </w:r>
          </w:p>
        </w:tc>
        <w:tc>
          <w:tcPr>
            <w:tcW w:w="200" w:type="dxa"/>
            <w:vAlign w:val="bottom"/>
            <w:tcBorders>
              <w:bottom w:val="single" w:sz="8" w:color="E1E1E1"/>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1E1E1E"/>
                <w:w w:val="98"/>
              </w:rPr>
              <w:t>Flows</w:t>
            </w:r>
          </w:p>
        </w:tc>
        <w:tc>
          <w:tcPr>
            <w:tcW w:w="200" w:type="dxa"/>
            <w:vAlign w:val="bottom"/>
            <w:tcBorders>
              <w:bottom w:val="single" w:sz="8" w:color="E1E1E1"/>
            </w:tcBorders>
          </w:tcPr>
          <w:p>
            <w:pPr>
              <w:spacing w:after="0"/>
              <w:rPr>
                <w:sz w:val="18"/>
                <w:szCs w:val="18"/>
                <w:color w:val="auto"/>
              </w:rPr>
            </w:pPr>
          </w:p>
        </w:tc>
        <w:tc>
          <w:tcPr>
            <w:tcW w:w="104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1E1E1E"/>
              </w:rPr>
              <w:t>Growth Rate</w:t>
            </w:r>
          </w:p>
        </w:tc>
        <w:tc>
          <w:tcPr>
            <w:tcW w:w="200" w:type="dxa"/>
            <w:vAlign w:val="bottom"/>
            <w:tcBorders>
              <w:bottom w:val="single" w:sz="8" w:color="E1E1E1"/>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900" w:type="dxa"/>
            <w:vAlign w:val="bottom"/>
            <w:tcBorders>
              <w:bottom w:val="single" w:sz="8" w:color="1E1E1E"/>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1E1E1E"/>
                <w:w w:val="99"/>
              </w:rPr>
              <w:t>Rate</w:t>
            </w:r>
          </w:p>
        </w:tc>
        <w:tc>
          <w:tcPr>
            <w:tcW w:w="60" w:type="dxa"/>
            <w:vAlign w:val="bottom"/>
            <w:tcBorders>
              <w:bottom w:val="single" w:sz="8" w:color="E1E1E1"/>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00" w:type="dxa"/>
            <w:vAlign w:val="bottom"/>
            <w:shd w:val="clear" w:color="auto" w:fill="E1E1E1"/>
          </w:tcPr>
          <w:p>
            <w:pPr>
              <w:spacing w:after="0"/>
              <w:rPr>
                <w:sz w:val="20"/>
                <w:szCs w:val="20"/>
                <w:color w:val="auto"/>
              </w:rPr>
            </w:pPr>
            <w:r>
              <w:rPr>
                <w:rFonts w:ascii="Times New Roman" w:cs="Times New Roman" w:eastAsia="Times New Roman" w:hAnsi="Times New Roman"/>
                <w:sz w:val="17"/>
                <w:szCs w:val="17"/>
                <w:color w:val="1E1E1E"/>
              </w:rPr>
              <w:t>Aurora</w:t>
            </w:r>
          </w:p>
        </w:tc>
        <w:tc>
          <w:tcPr>
            <w:tcW w:w="160" w:type="dxa"/>
            <w:vAlign w:val="bottom"/>
            <w:shd w:val="clear" w:color="auto" w:fill="E1E1E1"/>
          </w:tcPr>
          <w:p>
            <w:pPr>
              <w:spacing w:after="0"/>
              <w:rPr>
                <w:sz w:val="17"/>
                <w:szCs w:val="17"/>
                <w:color w:val="auto"/>
              </w:rPr>
            </w:pPr>
          </w:p>
        </w:tc>
        <w:tc>
          <w:tcPr>
            <w:tcW w:w="980" w:type="dxa"/>
            <w:vAlign w:val="bottom"/>
            <w:gridSpan w:val="2"/>
            <w:shd w:val="clear" w:color="auto" w:fill="E1E1E1"/>
          </w:tcPr>
          <w:p>
            <w:pPr>
              <w:jc w:val="right"/>
              <w:ind w:right="160"/>
              <w:spacing w:after="0"/>
              <w:rPr>
                <w:sz w:val="20"/>
                <w:szCs w:val="20"/>
                <w:color w:val="auto"/>
              </w:rPr>
            </w:pPr>
            <w:r>
              <w:rPr>
                <w:rFonts w:ascii="Times New Roman" w:cs="Times New Roman" w:eastAsia="Times New Roman" w:hAnsi="Times New Roman"/>
                <w:sz w:val="17"/>
                <w:szCs w:val="17"/>
                <w:color w:val="1E1E1E"/>
              </w:rPr>
              <w:t>13.0%</w:t>
            </w:r>
          </w:p>
        </w:tc>
        <w:tc>
          <w:tcPr>
            <w:tcW w:w="880" w:type="dxa"/>
            <w:vAlign w:val="bottom"/>
            <w:shd w:val="clear" w:color="auto" w:fill="E1E1E1"/>
          </w:tcPr>
          <w:p>
            <w:pPr>
              <w:spacing w:after="0"/>
              <w:rPr>
                <w:sz w:val="17"/>
                <w:szCs w:val="17"/>
                <w:color w:val="auto"/>
              </w:rPr>
            </w:pPr>
          </w:p>
        </w:tc>
        <w:tc>
          <w:tcPr>
            <w:tcW w:w="740" w:type="dxa"/>
            <w:vAlign w:val="bottom"/>
            <w:gridSpan w:val="3"/>
            <w:shd w:val="clear" w:color="auto" w:fill="E1E1E1"/>
          </w:tcPr>
          <w:p>
            <w:pPr>
              <w:jc w:val="right"/>
              <w:ind w:right="35"/>
              <w:spacing w:after="0"/>
              <w:rPr>
                <w:sz w:val="20"/>
                <w:szCs w:val="20"/>
                <w:color w:val="auto"/>
              </w:rPr>
            </w:pPr>
            <w:r>
              <w:rPr>
                <w:rFonts w:ascii="Times New Roman" w:cs="Times New Roman" w:eastAsia="Times New Roman" w:hAnsi="Times New Roman"/>
                <w:sz w:val="17"/>
                <w:szCs w:val="17"/>
                <w:color w:val="1E1E1E"/>
              </w:rPr>
              <w:t>1.0%  $</w:t>
            </w:r>
          </w:p>
        </w:tc>
        <w:tc>
          <w:tcPr>
            <w:tcW w:w="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7"/>
                <w:szCs w:val="17"/>
                <w:color w:val="1E1E1E"/>
              </w:rPr>
              <w:t>268.7</w:t>
            </w:r>
          </w:p>
        </w:tc>
        <w:tc>
          <w:tcPr>
            <w:tcW w:w="200" w:type="dxa"/>
            <w:vAlign w:val="bottom"/>
            <w:shd w:val="clear" w:color="auto" w:fill="E1E1E1"/>
          </w:tcPr>
          <w:p>
            <w:pPr>
              <w:spacing w:after="0"/>
              <w:rPr>
                <w:sz w:val="17"/>
                <w:szCs w:val="17"/>
                <w:color w:val="auto"/>
              </w:rPr>
            </w:pPr>
          </w:p>
        </w:tc>
        <w:tc>
          <w:tcPr>
            <w:tcW w:w="40" w:type="dxa"/>
            <w:vAlign w:val="bottom"/>
            <w:shd w:val="clear" w:color="auto" w:fill="E1E1E1"/>
          </w:tcPr>
          <w:p>
            <w:pPr>
              <w:spacing w:after="0"/>
              <w:rPr>
                <w:sz w:val="17"/>
                <w:szCs w:val="17"/>
                <w:color w:val="auto"/>
              </w:rPr>
            </w:pPr>
          </w:p>
        </w:tc>
        <w:tc>
          <w:tcPr>
            <w:tcW w:w="780" w:type="dxa"/>
            <w:vAlign w:val="bottom"/>
            <w:gridSpan w:val="2"/>
            <w:shd w:val="clear" w:color="auto" w:fill="E1E1E1"/>
          </w:tcPr>
          <w:p>
            <w:pPr>
              <w:ind w:left="340"/>
              <w:spacing w:after="0"/>
              <w:rPr>
                <w:sz w:val="20"/>
                <w:szCs w:val="20"/>
                <w:color w:val="auto"/>
              </w:rPr>
            </w:pPr>
            <w:r>
              <w:rPr>
                <w:rFonts w:ascii="Times New Roman" w:cs="Times New Roman" w:eastAsia="Times New Roman" w:hAnsi="Times New Roman"/>
                <w:sz w:val="17"/>
                <w:szCs w:val="17"/>
                <w:color w:val="1E1E1E"/>
              </w:rPr>
              <w:t>3.0%</w:t>
            </w:r>
          </w:p>
        </w:tc>
        <w:tc>
          <w:tcPr>
            <w:tcW w:w="80" w:type="dxa"/>
            <w:vAlign w:val="bottom"/>
            <w:shd w:val="clear" w:color="auto" w:fill="E1E1E1"/>
          </w:tcPr>
          <w:p>
            <w:pPr>
              <w:spacing w:after="0"/>
              <w:rPr>
                <w:sz w:val="17"/>
                <w:szCs w:val="17"/>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7"/>
                <w:szCs w:val="17"/>
                <w:color w:val="1E1E1E"/>
              </w:rPr>
              <w:t>134.4</w:t>
            </w:r>
          </w:p>
        </w:tc>
        <w:tc>
          <w:tcPr>
            <w:tcW w:w="200" w:type="dxa"/>
            <w:vAlign w:val="bottom"/>
            <w:shd w:val="clear" w:color="auto" w:fill="E1E1E1"/>
          </w:tcPr>
          <w:p>
            <w:pPr>
              <w:spacing w:after="0"/>
              <w:rPr>
                <w:sz w:val="17"/>
                <w:szCs w:val="17"/>
                <w:color w:val="auto"/>
              </w:rPr>
            </w:pPr>
          </w:p>
        </w:tc>
        <w:tc>
          <w:tcPr>
            <w:tcW w:w="180" w:type="dxa"/>
            <w:vAlign w:val="bottom"/>
            <w:shd w:val="clear" w:color="auto" w:fill="E1E1E1"/>
          </w:tcPr>
          <w:p>
            <w:pPr>
              <w:jc w:val="right"/>
              <w:ind w:right="15"/>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7"/>
                <w:szCs w:val="17"/>
                <w:color w:val="1E1E1E"/>
              </w:rPr>
              <w:t>9.0</w:t>
            </w:r>
          </w:p>
        </w:tc>
        <w:tc>
          <w:tcPr>
            <w:tcW w:w="200" w:type="dxa"/>
            <w:vAlign w:val="bottom"/>
            <w:shd w:val="clear" w:color="auto" w:fill="E1E1E1"/>
          </w:tcPr>
          <w:p>
            <w:pPr>
              <w:spacing w:after="0"/>
              <w:rPr>
                <w:sz w:val="17"/>
                <w:szCs w:val="17"/>
                <w:color w:val="auto"/>
              </w:rPr>
            </w:pP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9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7"/>
                <w:szCs w:val="17"/>
                <w:color w:val="1E1E1E"/>
              </w:rPr>
              <w:t>111.3</w:t>
            </w:r>
          </w:p>
        </w:tc>
        <w:tc>
          <w:tcPr>
            <w:tcW w:w="200" w:type="dxa"/>
            <w:vAlign w:val="bottom"/>
            <w:shd w:val="clear" w:color="auto" w:fill="E1E1E1"/>
          </w:tcPr>
          <w:p>
            <w:pPr>
              <w:spacing w:after="0"/>
              <w:rPr>
                <w:sz w:val="17"/>
                <w:szCs w:val="17"/>
                <w:color w:val="auto"/>
              </w:rPr>
            </w:pP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7"/>
                <w:szCs w:val="17"/>
                <w:color w:val="1E1E1E"/>
              </w:rPr>
              <w:t>78.5</w:t>
            </w:r>
          </w:p>
        </w:tc>
        <w:tc>
          <w:tcPr>
            <w:tcW w:w="60" w:type="dxa"/>
            <w:vAlign w:val="bottom"/>
            <w:shd w:val="clear" w:color="auto" w:fill="E1E1E1"/>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Definite-Lived Intangible Assets and Other Long-Lived Assets</w:t>
      </w:r>
    </w:p>
    <w:p>
      <w:pPr>
        <w:spacing w:after="0" w:line="19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1E1E1E"/>
        </w:rPr>
        <w:t>Management reviews definite-lived intangible assets and other long-lived assets for impairment when events or changes in circumstances indicate that their carrying values may not be fully recoverable. This analysis differs from our goodwill impairment analysis in that an intangible or other long-lived asset impairment is only deemed to have occurred if the sum of the forecasted undiscounted future net cash flows related to the assets being evaluated is less than the carrying value of the assets. If the forecasted net cash flows are less than the carrying value, then the asset is written down to its estimated fair value. Other than certain assets impaired as a result of restructuring actions, we did not identify any impairments of definite-lived intangible assets or other long-lived assets in 2025. Changes in the estimates of forecasted net cash flows or changes in classification from held for use may result in future asset impairments that could be material to our results of operations.</w:t>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51</w:t>
      </w:r>
    </w:p>
    <w:p>
      <w:pPr>
        <w:sectPr>
          <w:pgSz w:w="11880" w:h="15480" w:orient="portrait"/>
          <w:cols w:equalWidth="0" w:num="1">
            <w:col w:w="10800"/>
          </w:cols>
          <w:pgMar w:left="540" w:top="1238" w:right="54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11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1E1E1E"/>
        </w:rPr>
        <w:t xml:space="preserve">We recognize revenue based on the satisfaction of distinct obligations to transfer goods and services to customers. Our revenue is generated primarily from product or equipment sales. We also generate revenue from custom design and installation services as well as bundled sales arrangements that include product, software and services. We apply a five-step approach as defined in ASC 606, </w:t>
      </w:r>
      <w:r>
        <w:rPr>
          <w:rFonts w:ascii="Times New Roman" w:cs="Times New Roman" w:eastAsia="Times New Roman" w:hAnsi="Times New Roman"/>
          <w:sz w:val="20"/>
          <w:szCs w:val="20"/>
          <w:i w:val="1"/>
          <w:iCs w:val="1"/>
          <w:color w:val="1E1E1E"/>
        </w:rPr>
        <w:t>Revenue from Contracts with Customers</w:t>
      </w:r>
      <w:r>
        <w:rPr>
          <w:rFonts w:ascii="Times New Roman" w:cs="Times New Roman" w:eastAsia="Times New Roman" w:hAnsi="Times New Roman"/>
          <w:sz w:val="20"/>
          <w:szCs w:val="20"/>
          <w:color w:val="1E1E1E"/>
        </w:rPr>
        <w:t>, in determining the amount and timing of revenue to be recognized: (1) identify the contract</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with a customer; (2) identify the performance obligations in the contract; (3) determine the transaction price; (4) allocate the transaction price to the performance obligations in the contract; and (5) recognize revenue when a corresponding performance obligation is satisfied. Most contracts with customers are to provide distinct products or services within a single contract. However, if a contract is separated into more than one performance obligation, the total transaction price is allocated to each performance obligation in an amount based on the estimated relative standalone selling price.</w:t>
      </w:r>
    </w:p>
    <w:p>
      <w:pPr>
        <w:spacing w:after="0" w:line="206"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1E1E1E"/>
        </w:rPr>
        <w:t>Product sales to end-customers or distributors represent over 90% of our revenue and are generally recognized at the point-in-time when products have been shipped, right to payment has been obtained and risk of loss has been transferred. Certain of our product performance obligations include proprietary operating system software, which typically is not considered separately identifiable. Therefore, sales of these products and the related software are considered one performance obligation.</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1E1E1E"/>
        </w:rPr>
        <w:t>License contracts include revenue recognized for the licensing of intellectual property, including software, sold separately without products. Functional intellectual property licenses do not meet the criteria for revenue to be recognized over time, and revenue is most commonly recognized upon delivery of the license/software to the customer.</w:t>
      </w:r>
    </w:p>
    <w:p>
      <w:pPr>
        <w:spacing w:after="0" w:line="1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We have service arrangements where net sales are recognized over time. These arrangements include a variety of post-contract support service offerings, which are generally recognized over time as the services are provided, including the following: maintenance and support services provided under annual service-level agreements; “Day 2” professional services to help customers maximize their utilization of deployed systems; and installation services related to the routine installation of equipment ordered by the customer at the customer’s site.</w:t>
      </w:r>
    </w:p>
    <w:p>
      <w:pPr>
        <w:spacing w:after="0" w:line="19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Revenue is measured based on the consideration to which we expect to be entitled based on customer contracts. Sales are adjusted for variable consideration amounts, including, but not limited to, estimated discounts, rebates, distributor price protection programs and returns. These estimates are determined based upon historical experience, contract terms, inventory levels in the distributor channel and other related factors. Adjustments to variable consideration estimates are recorded when circumstances indicate revisions may be necessary. Variable consideration is primarily related to sales to our distributors, system integrators and value-added resellers.</w:t>
      </w:r>
    </w:p>
    <w:p>
      <w:pPr>
        <w:spacing w:after="0" w:line="19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1E1E1E"/>
        </w:rPr>
        <w:t>A contract liability for deferred revenue is recorded when consideration is received or is unconditionally due from a customer prior to transferring control of goods or services to the customer under the terms of a contract. Deferred revenue balances typically result from advance payments received from customers from billings in excess of revenue recognized on services arrangements.</w:t>
      </w:r>
    </w:p>
    <w:p>
      <w:pPr>
        <w:spacing w:after="0" w:line="18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Unbilled receivables represent amounts earned for which we have an unconditional right to payment but have not yet invoiced the customer. When our right to consideration is conditional on future performance or other factors beyond the passage of time, these amounts are classified as contract assets and presented separately from trade accounts receivable in other receivables in the consolidated balance sheet and are converted to accounts receivable once our right to the consideration becomes unconditional, which varies by contract but is generally based on achieving certain acceptance milestones.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Contingencies and Litigation</w:t>
      </w:r>
    </w:p>
    <w:p>
      <w:pPr>
        <w:spacing w:after="0" w:line="11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1E1E1E"/>
        </w:rPr>
        <w:t>We are a party to lawsuits, claims and proceedings incident to the operation of our business, including intellectual property infringement matters, those pertaining to labor and employment contracts and other matters, some of which allege substantial monetary damages. We assess these matters in order to determine if a contingent liability should be recorded. In making this determination, management may, depending on the nature of the matter, consult with internal and external legal counsel and technical experts. We expense legal fees associated with consultations and defense of lawsuits as incurred. We accrue for loss contingencies when losses become probable and are reasonably estimable. If the reasonable estimate of the loss is a range and no amount within the range is a better estimate, the minimum amount of the range is recorded as a liability. Gain contingencies are recognized when they are realized.</w:t>
      </w:r>
    </w:p>
    <w:p>
      <w:pPr>
        <w:sectPr>
          <w:pgSz w:w="11880" w:h="15480" w:orient="portrait"/>
          <w:cols w:equalWidth="0" w:num="1">
            <w:col w:w="10760"/>
          </w:cols>
          <w:pgMar w:left="540" w:top="12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52</w:t>
      </w:r>
    </w:p>
    <w:p>
      <w:pPr>
        <w:sectPr>
          <w:pgSz w:w="11880" w:h="15480" w:orient="portrait"/>
          <w:cols w:equalWidth="0" w:num="1">
            <w:col w:w="10760"/>
          </w:cols>
          <w:pgMar w:left="540" w:top="1240" w:right="580" w:bottom="0" w:gutter="0" w:footer="0" w:header="0"/>
          <w:type w:val="continuous"/>
        </w:sectPr>
      </w:pPr>
    </w:p>
    <w:bookmarkStart w:id="62" w:name="page63"/>
    <w:bookmarkEnd w:id="62"/>
    <w:p>
      <w:pPr>
        <w:ind w:right="60"/>
        <w:spacing w:after="0" w:line="246" w:lineRule="auto"/>
        <w:rPr>
          <w:sz w:val="20"/>
          <w:szCs w:val="20"/>
          <w:color w:val="auto"/>
        </w:rPr>
      </w:pPr>
      <w:r>
        <w:rPr>
          <w:rFonts w:ascii="Times New Roman" w:cs="Times New Roman" w:eastAsia="Times New Roman" w:hAnsi="Times New Roman"/>
          <w:sz w:val="20"/>
          <w:szCs w:val="20"/>
          <w:color w:val="1E1E1E"/>
        </w:rPr>
        <w:t>Litigation outcomes are difficult to predict and are often resolved over long periods of time, making our estimates highly judgmental. Estimating probable losses requires the analysis of multiple possible outcomes that often depend on judgments about potential actions by third parties, such as future changes in facts and circumstances, differing interpretations of the law, assessments of the amount of damages and other factors beyond our control. There is the potential for a material adverse effect on our results of operations and cash flows if one or more matters are resolved in a particular period in an amount materially in excess of what we anticipated. Alternatively, if the judgments and estimates made by management are incorrect and a particular contingent loss does not occur, the contingent loss recorded would be reversed, thereby favorably impacting our results of operations.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Inventory Reserves</w:t>
      </w:r>
    </w:p>
    <w:p>
      <w:pPr>
        <w:spacing w:after="0" w:line="1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1E1E1E"/>
        </w:rPr>
        <w:t>We maintain reserves to reduce the value of inventory based on the lower of cost or net realizable value, including allowances for excess and obsolete inventory. These reserves are based on management’s assumptions about and analysis of relevant factors including current levels of orders and backlog, forecasted demand, market conditions and new products or innovations that diminish the value of existing inventories. If actual market conditions deteriorate from those anticipated by management, additional allowances for excess and obsolete inventory could be required and may be material to our results of operations.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Tax Valuation Allowances and Liabilities for Unrecognized Tax Benefits</w:t>
      </w:r>
    </w:p>
    <w:p>
      <w:pPr>
        <w:spacing w:after="0" w:line="11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We establish an income tax valuation allowance when available evidence indicates that it is more likely than not that all or a portion of a deferred tax asset will not be realized. In assessing the need for a valuation allowance, we consider the amounts, character, source and timing of expected future deductions or carryforwards as well as sources of taxable income and tax planning strategies that may enable utilization. We maintain an existing valuation allowance until sufficient positive evidence exists to support its reversal. Changes in the amount or timing of expected future deductions or taxable income may have a material impact on the level of income tax valuation allowances. If we determine that we will not be able to realize all or part of a deferred tax asset in the future, an increase to an income tax valuation allowance would be charged to earnings in the period such determination was made.</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1E1E1E"/>
        </w:rPr>
        <w:t>We also establish allowances related to value-added and similar recoverable taxes when it is considered probable that those assets are not recoverable. Changes in the probability of recovery or in the estimates of the amount recoverable are recognized in the period such determination is made and may be material to our gain (loss) from continuing operations.</w:t>
      </w:r>
    </w:p>
    <w:p>
      <w:pPr>
        <w:spacing w:after="0" w:line="18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We recognize income tax benefits related to particular tax positions only when it is considered more likely than not that the tax position will be sustained if examined on its technical merits by tax authorities. The amount of benefit recognized is the largest amount of tax benefit that is evaluated to be greater than 50% likely to be realized. Considerable judgment is required to evaluate the technical merits of various positions and to evaluate the likely amount of benefit to be realized. Lapses in statutes of limitations, developments in tax laws, regulations and interpretations, and changes in assessments of the likely outcome of uncertain tax positions could have a material impact on the overall tax provision.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RECENT ACCOUNTING PRONOUNCEMENTS</w:t>
      </w:r>
    </w:p>
    <w:p>
      <w:pPr>
        <w:spacing w:after="0" w:line="12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1E1E1E"/>
        </w:rPr>
        <w:t>See Note 2 in the Notes to Consolidated Financial Statements included elsewhere in this Annual Report on Form 10-K for a discussion of recent accounting pronouncements.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7A. QUANTITATIVE AND QUALITATIVE DISCLOSURES ABOUT MARKET RISK</w:t>
      </w:r>
    </w:p>
    <w:p>
      <w:pPr>
        <w:spacing w:after="0" w:line="123"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0"/>
          <w:szCs w:val="20"/>
          <w:color w:val="1E1E1E"/>
        </w:rPr>
        <w:t>We are exposed to market risks related to foreign currency exchange rates and commodity prices. We may utilize derivative financial instruments, among other methods, to hedge some of these exposures. We do not use derivative financial instruments for speculative or trading purposes.</w:t>
      </w:r>
    </w:p>
    <w:p>
      <w:pPr>
        <w:spacing w:after="0" w:line="18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1E1E1E"/>
        </w:rPr>
        <w:t>In connection with the sale of the CCS segment that was completed subsequent to fiscal year end on January 9, 2026, we repaid and issued notices of full redemption of all of our then-existing indebtedness, and we are no longer exposed to market risks related to changes in interest rates. For further discussion of the sale of the CCS segment, see Note 19 in the Notes to Consolidated Financial Statements included elsewhere in this Annual Report on Form 10-K.</w:t>
      </w:r>
    </w:p>
    <w:p>
      <w:pPr>
        <w:sectPr>
          <w:pgSz w:w="11880" w:h="15480" w:orient="portrait"/>
          <w:cols w:equalWidth="0" w:num="1">
            <w:col w:w="10800"/>
          </w:cols>
          <w:pgMar w:left="540" w:top="12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53</w:t>
      </w:r>
    </w:p>
    <w:p>
      <w:pPr>
        <w:sectPr>
          <w:pgSz w:w="11880" w:h="15480" w:orient="portrait"/>
          <w:cols w:equalWidth="0" w:num="1">
            <w:col w:w="10800"/>
          </w:cols>
          <w:pgMar w:left="540" w:top="1238" w:right="54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1E1E1E"/>
        </w:rPr>
        <w:t>Foreign Currency Risk</w:t>
      </w:r>
    </w:p>
    <w:p>
      <w:pPr>
        <w:spacing w:after="0" w:line="11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1E1E1E"/>
        </w:rPr>
        <w:t>Approximately 28.5% and 33.3% of net sales for 2025 and 2024, respectively, were to customers located outside the U.S. Significant changes in foreign currency exchange rates could adversely affect our international sales levels and the related collection of amounts due. In addition, a significant decline in the value of currencies used in certain regions of the world as compared to the U.S. dollar could adversely affect product sales in those regions because our products may become more expensive for those customers to pay for in their local currency. Conversely, significant increases in the value of foreign currencies as compared to the U.S. dollar could adversely affect profitability as certain product costs increase relative to a U.S. dollar-denominated sales price. The foreign currencies to which we have the greatest exposure include the Chinese yuan, euro, British pound sterling, Mexican peso, Japanese yen, Canadian dollar, Australian dollar, Brazilian real, South African rand, Indian rupee and Czech koruna. Local manufacturing provides a partial natural hedge and we continue to evaluate additional alternatives to help us reasonably manage the market risk related to foreign currency exposures.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Commodity Price Risk</w:t>
      </w:r>
    </w:p>
    <w:p>
      <w:pPr>
        <w:spacing w:after="0" w:line="1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Materials account for a large portion of our cost of sales. These materials, such as aluminum, copper, steel, optical fiber, capacitors, memory devices and silicon chips, are subject to changes in market price as they are influenced by commodity markets and supply and demand levels, among other factors. Management attempts to mitigate these risks through effective requirements planning and by working closely with key suppliers to obtain the best possible pricing and delivery terms. We may also enter into agreements with certain suppliers to guarantee our access to certain key components.</w:t>
      </w:r>
    </w:p>
    <w:p>
      <w:pPr>
        <w:spacing w:after="0" w:line="197"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20"/>
          <w:szCs w:val="20"/>
          <w:color w:val="1E1E1E"/>
        </w:rPr>
        <w:t>As of December 31, 2025, we had no forward purchase commitments outstanding under take-or-pay contracts. We continuously evaluate the amount and type of derivative instruments utilized to manage commodity price risk.</w:t>
      </w:r>
    </w:p>
    <w:p>
      <w:pPr>
        <w:sectPr>
          <w:pgSz w:w="11880" w:h="15480" w:orient="portrait"/>
          <w:cols w:equalWidth="0" w:num="1">
            <w:col w:w="10780"/>
          </w:cols>
          <w:pgMar w:left="540" w:top="124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54</w:t>
      </w:r>
    </w:p>
    <w:p>
      <w:pPr>
        <w:sectPr>
          <w:pgSz w:w="11880" w:h="15480" w:orient="portrait"/>
          <w:cols w:equalWidth="0" w:num="1">
            <w:col w:w="10780"/>
          </w:cols>
          <w:pgMar w:left="540" w:top="1242" w:right="560" w:bottom="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75"/>
        </w:trPr>
        <w:tc>
          <w:tcPr>
            <w:tcW w:w="85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ITEM 8. FINANCIAL STATEMENTS AND SUPPLEMENTARY DATA</w:t>
            </w:r>
          </w:p>
        </w:tc>
        <w:tc>
          <w:tcPr>
            <w:tcW w:w="2280" w:type="dxa"/>
            <w:vAlign w:val="bottom"/>
          </w:tcPr>
          <w:p>
            <w:pPr>
              <w:spacing w:after="0"/>
              <w:rPr>
                <w:sz w:val="23"/>
                <w:szCs w:val="23"/>
                <w:color w:val="auto"/>
              </w:rPr>
            </w:pPr>
          </w:p>
        </w:tc>
      </w:tr>
      <w:tr>
        <w:trPr>
          <w:trHeight w:val="350"/>
        </w:trPr>
        <w:tc>
          <w:tcPr>
            <w:tcW w:w="85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Index to Financial Statements</w:t>
            </w:r>
          </w:p>
        </w:tc>
        <w:tc>
          <w:tcPr>
            <w:tcW w:w="2280" w:type="dxa"/>
            <w:vAlign w:val="bottom"/>
          </w:tcPr>
          <w:p>
            <w:pPr>
              <w:spacing w:after="0"/>
              <w:rPr>
                <w:sz w:val="24"/>
                <w:szCs w:val="24"/>
                <w:color w:val="auto"/>
              </w:rPr>
            </w:pPr>
          </w:p>
        </w:tc>
      </w:tr>
      <w:tr>
        <w:trPr>
          <w:trHeight w:val="346"/>
        </w:trPr>
        <w:tc>
          <w:tcPr>
            <w:tcW w:w="85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Reports of Independent Registered Public Accounting Firm (PCAOB ID: 42)</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w:t>
            </w:r>
          </w:p>
        </w:tc>
      </w:tr>
      <w:tr>
        <w:trPr>
          <w:trHeight w:val="350"/>
        </w:trPr>
        <w:tc>
          <w:tcPr>
            <w:tcW w:w="85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Consolidated Statements of Operations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w:t>
            </w:r>
          </w:p>
        </w:tc>
      </w:tr>
      <w:tr>
        <w:trPr>
          <w:trHeight w:val="360"/>
        </w:trPr>
        <w:tc>
          <w:tcPr>
            <w:tcW w:w="85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Consolidated Statements of Comprehensive Income (Loss)</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w:t>
            </w:r>
          </w:p>
        </w:tc>
      </w:tr>
      <w:tr>
        <w:trPr>
          <w:trHeight w:val="350"/>
        </w:trPr>
        <w:tc>
          <w:tcPr>
            <w:tcW w:w="85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Consolidated Balance Sheets</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w:t>
            </w:r>
          </w:p>
        </w:tc>
      </w:tr>
      <w:tr>
        <w:trPr>
          <w:trHeight w:val="350"/>
        </w:trPr>
        <w:tc>
          <w:tcPr>
            <w:tcW w:w="85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Consolidated Statements of Cash Flows</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w:t>
            </w:r>
          </w:p>
        </w:tc>
      </w:tr>
      <w:tr>
        <w:trPr>
          <w:trHeight w:val="350"/>
        </w:trPr>
        <w:tc>
          <w:tcPr>
            <w:tcW w:w="85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Consolidated Statements of Stockholders’ Deficit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w:t>
            </w:r>
          </w:p>
        </w:tc>
      </w:tr>
      <w:tr>
        <w:trPr>
          <w:trHeight w:val="350"/>
        </w:trPr>
        <w:tc>
          <w:tcPr>
            <w:tcW w:w="85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Notes to Consolidated Financial Statements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r>
    </w:tbl>
    <w:p>
      <w:pPr>
        <w:spacing w:after="0" w:line="200" w:lineRule="exact"/>
        <w:rPr>
          <w:sz w:val="20"/>
          <w:szCs w:val="20"/>
          <w:color w:val="auto"/>
        </w:rPr>
      </w:pPr>
    </w:p>
    <w:p>
      <w:pPr>
        <w:sectPr>
          <w:pgSz w:w="11880" w:h="15480" w:orient="portrait"/>
          <w:cols w:equalWidth="0" w:num="1">
            <w:col w:w="10800"/>
          </w:cols>
          <w:pgMar w:left="540" w:top="125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55</w:t>
      </w:r>
    </w:p>
    <w:p>
      <w:pPr>
        <w:sectPr>
          <w:pgSz w:w="11880" w:h="15480" w:orient="portrait"/>
          <w:cols w:equalWidth="0" w:num="1">
            <w:col w:w="10800"/>
          </w:cols>
          <w:pgMar w:left="540" w:top="1258" w:right="540" w:bottom="0" w:gutter="0" w:footer="0" w:header="0"/>
          <w:type w:val="continuous"/>
        </w:sectPr>
      </w:pPr>
    </w:p>
    <w:bookmarkStart w:id="65" w:name="page66"/>
    <w:bookmarkEnd w:id="65"/>
    <w:p>
      <w:pPr>
        <w:ind w:right="2900" w:firstLine="2895"/>
        <w:spacing w:after="0" w:line="442" w:lineRule="auto"/>
        <w:rPr>
          <w:sz w:val="20"/>
          <w:szCs w:val="20"/>
          <w:color w:val="auto"/>
        </w:rPr>
      </w:pPr>
      <w:r>
        <w:rPr>
          <w:rFonts w:ascii="Times New Roman" w:cs="Times New Roman" w:eastAsia="Times New Roman" w:hAnsi="Times New Roman"/>
          <w:sz w:val="20"/>
          <w:szCs w:val="20"/>
          <w:b w:val="1"/>
          <w:bCs w:val="1"/>
          <w:color w:val="1E1E1E"/>
        </w:rPr>
        <w:t xml:space="preserve">Report of Independent Registered Public Accounting Firm </w:t>
      </w:r>
      <w:r>
        <w:rPr>
          <w:rFonts w:ascii="Times New Roman" w:cs="Times New Roman" w:eastAsia="Times New Roman" w:hAnsi="Times New Roman"/>
          <w:sz w:val="20"/>
          <w:szCs w:val="20"/>
          <w:color w:val="1E1E1E"/>
        </w:rPr>
        <w:t xml:space="preserve">To the Stockholders and the Board of Directors of Vistance Networks, Inc. </w:t>
      </w:r>
      <w:r>
        <w:rPr>
          <w:rFonts w:ascii="Times New Roman" w:cs="Times New Roman" w:eastAsia="Times New Roman" w:hAnsi="Times New Roman"/>
          <w:sz w:val="20"/>
          <w:szCs w:val="20"/>
          <w:b w:val="1"/>
          <w:bCs w:val="1"/>
          <w:color w:val="1E1E1E"/>
        </w:rPr>
        <w:t>Opinion on the Financial Statements</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1E1E1E"/>
        </w:rPr>
        <w:t>We have audited the accompanying consolidated balance sheets of Vistance Networks, Inc. (the Company) as of December 31, 2025 and 2024, the related consolidated statements of operations, comprehensive income (loss), stockholders’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1E1E1E"/>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Basis for Opinion</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1E1E1E"/>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1E1E1E"/>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Audit Matters</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1E1E1E"/>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i w:val="1"/>
          <w:iCs w:val="1"/>
          <w:color w:val="1E1E1E"/>
        </w:rPr>
        <w:t>Valuation of Goodwill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 xml:space="preserve">Description of  </w:t>
      </w:r>
      <w:r>
        <w:rPr>
          <w:rFonts w:ascii="Times New Roman" w:cs="Times New Roman" w:eastAsia="Times New Roman" w:hAnsi="Times New Roman"/>
          <w:sz w:val="20"/>
          <w:szCs w:val="20"/>
          <w:color w:val="1E1E1E"/>
        </w:rPr>
        <w:t>As more fully described in Note 5 to the consolidated financial statements, at December 31, 2025, the Company’s</w:t>
      </w:r>
    </w:p>
    <w:p>
      <w:pPr>
        <w:spacing w:after="0" w:line="3" w:lineRule="exact"/>
        <w:rPr>
          <w:sz w:val="20"/>
          <w:szCs w:val="20"/>
          <w:color w:val="auto"/>
        </w:rPr>
      </w:pPr>
    </w:p>
    <w:p>
      <w:pPr>
        <w:jc w:val="both"/>
        <w:ind w:left="1300" w:right="20" w:hanging="1295"/>
        <w:spacing w:after="0" w:line="296" w:lineRule="auto"/>
        <w:tabs>
          <w:tab w:leader="none" w:pos="1280" w:val="left"/>
        </w:tabs>
        <w:rPr>
          <w:sz w:val="20"/>
          <w:szCs w:val="20"/>
          <w:color w:val="auto"/>
        </w:rPr>
      </w:pPr>
      <w:r>
        <w:rPr>
          <w:rFonts w:ascii="Times New Roman" w:cs="Times New Roman" w:eastAsia="Times New Roman" w:hAnsi="Times New Roman"/>
          <w:sz w:val="20"/>
          <w:szCs w:val="20"/>
          <w:i w:val="1"/>
          <w:iCs w:val="1"/>
          <w:color w:val="1E1E1E"/>
        </w:rPr>
        <w:t>the Matter</w:t>
      </w:r>
      <w:r>
        <w:rPr>
          <w:sz w:val="20"/>
          <w:szCs w:val="20"/>
          <w:color w:val="auto"/>
        </w:rPr>
        <w:tab/>
      </w:r>
      <w:r>
        <w:rPr>
          <w:rFonts w:ascii="Times New Roman" w:cs="Times New Roman" w:eastAsia="Times New Roman" w:hAnsi="Times New Roman"/>
          <w:sz w:val="20"/>
          <w:szCs w:val="20"/>
          <w:color w:val="1E1E1E"/>
        </w:rPr>
        <w:t>goodwill was $764.6 million, of which $268.7 million related to the Aurora reporting unit. The Company’s goodwill is initially assigned to its reporting units as of the acquisition date.</w:t>
      </w:r>
    </w:p>
    <w:p>
      <w:pPr>
        <w:spacing w:after="0" w:line="178" w:lineRule="exact"/>
        <w:rPr>
          <w:sz w:val="20"/>
          <w:szCs w:val="20"/>
          <w:color w:val="auto"/>
        </w:rPr>
      </w:pPr>
    </w:p>
    <w:p>
      <w:pPr>
        <w:jc w:val="both"/>
        <w:ind w:left="1300" w:right="20"/>
        <w:spacing w:after="0" w:line="270" w:lineRule="auto"/>
        <w:rPr>
          <w:sz w:val="20"/>
          <w:szCs w:val="20"/>
          <w:color w:val="auto"/>
        </w:rPr>
      </w:pPr>
      <w:r>
        <w:rPr>
          <w:rFonts w:ascii="Times New Roman" w:cs="Times New Roman" w:eastAsia="Times New Roman" w:hAnsi="Times New Roman"/>
          <w:sz w:val="20"/>
          <w:szCs w:val="20"/>
          <w:color w:val="1E1E1E"/>
        </w:rPr>
        <w:t>Goodwill is tested for impairment at least annually at the reporting unit level. The Company performed its annual goodwill impairment test in the fourth quarter of 2025. As a result of the annual goodwill impairment test, no impairment charge was measured, as the estimated fair value of the Aurora reporting unit was greater than the carrying value.</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56</w:t>
      </w:r>
    </w:p>
    <w:p>
      <w:pPr>
        <w:sectPr>
          <w:pgSz w:w="11880" w:h="15480" w:orient="portrait"/>
          <w:cols w:equalWidth="0" w:num="1">
            <w:col w:w="10800"/>
          </w:cols>
          <w:pgMar w:left="540" w:top="1235" w:right="540" w:bottom="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i w:val="1"/>
          <w:iCs w:val="1"/>
          <w:color w:val="1E1E1E"/>
        </w:rPr>
        <w:t>How We Addressed the Matter in Our Audit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1E1E1E"/>
        </w:rPr>
        <w:t>Auditing management’s goodwill impairment test was complex and highly judgmental due to the significant estimation required in determining the fair value of the Aurora reporting unit. In particular, the fair value estimate was sensitive to changes in significant assumptions, such as the estimated discount rate, projected revenue growth rate and projected EBITDA margin percentage, which are affected by expectations about future market or economic conditions.</w:t>
      </w:r>
    </w:p>
    <w:p>
      <w:pPr>
        <w:spacing w:after="0" w:line="20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0"/>
          <w:szCs w:val="20"/>
          <w:color w:val="1E1E1E"/>
        </w:rPr>
        <w:t>We evaluated the Company’s assessment of the impairment of goodwill for the Aurora reporting unit. We obtained an understanding, evaluated the design and tested the operating effectiveness of controls that address the risks of material misstatement relating to the annual goodwill impairment test for this reporting unit, including controls over management’s development and review of the significant assumptions discussed above.</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1E1E1E"/>
        </w:rPr>
        <w:t>To test the estimated fair value of the Aurora reporting unit, we performed audit procedures with the assistance of our valuation specialists that included, among others, assessing methodologies and testing the significant assumptions discussed above and the underlying data used by the Company in its analysis. We evaluated the Company’s estimated discount rate methodology and developed independent ranges of reasonable discount rates. We compared the significant assumptions of projected revenue growth rates and projected EBITDA margin percentages used by management to current industry and economic trends, changes to the Company’s business model, customer base or product mix and other relevant factors. We also evaluated the reasonableness of the guideline public companies used to develop the fair value estimate of the Aurora reporting unit. We assessed the historical accuracy of management’s estimates and performed sensitivity analyses of significant assumptions to evaluate the changes in the fair value of the reporting unit that would result from changes in the assumptions. We also evaluated the related goodwill disclosures included in Note 5 to the consolidated financial statements.</w:t>
      </w:r>
    </w:p>
    <w:p>
      <w:pPr>
        <w:spacing w:after="0" w:line="200" w:lineRule="exact"/>
        <w:rPr>
          <w:sz w:val="20"/>
          <w:szCs w:val="20"/>
          <w:color w:val="auto"/>
        </w:rPr>
      </w:pPr>
    </w:p>
    <w:p>
      <w:pPr>
        <w:sectPr>
          <w:pgSz w:w="11880" w:h="15480" w:orient="portrait"/>
          <w:cols w:equalWidth="0" w:num="2">
            <w:col w:w="1120" w:space="180"/>
            <w:col w:w="9480"/>
          </w:cols>
          <w:pgMar w:left="540" w:top="1440" w:right="560" w:bottom="0" w:gutter="0" w:footer="0" w:header="0"/>
        </w:sectPr>
      </w:pPr>
    </w:p>
    <w:p>
      <w:pPr>
        <w:spacing w:after="0" w:line="38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i w:val="1"/>
          <w:iCs w:val="1"/>
          <w:color w:val="1E1E1E"/>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i w:val="1"/>
          <w:iCs w:val="1"/>
          <w:color w:val="1E1E1E"/>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Incomes Taxes - Valuation Allowance</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1E1E1E"/>
        </w:rPr>
        <w:t>As more fully described in Note 13 to the consolidated financial statements, at December 31, 2025, the Company recognized deferred tax assets related to deductible temporary differences and carryforwards of $1,880.0 million, net of valuation allowances of $97.0 million. Deferred tax assets are reduced by a valuation allowance if, based on the weight of all available evidence, in management’s judgment, it is more likely than not that some portion, or all, of the deferred tax assets will not be realized.</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1E1E1E"/>
        </w:rPr>
        <w:t>Auditing management’s assessment of the realizability of deferred tax assets was complex and judgmental due to the estimation required in determining whether sufficient projected future taxable income supports the realization of the Company’s existing deferred tax assets.</w:t>
      </w: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1E1E1E"/>
        </w:rPr>
        <w:t>We evaluated the Company’s assessment of the realizability of deferred tax assets, with the assistance of our income tax professionals. We obtained an understanding, evaluated the design and tested the operating effectiveness of controls that address the risks of material misstatement relating to the realizability of deferred tax assets, including controls over management’s development and review of the projected future taxable income.</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1E1E1E"/>
        </w:rPr>
        <w:t>To test the realizability of deferred tax assets, we performed audit procedures that included, among others, evaluating whether the amount and sources of management’s projected future taxable income would be sufficient to utilize the deferred tax assets under the relevant tax laws. We evaluated the assumptions used by the Company to develop the projected future taxable income and tested the completeness and accuracy of the underlying data. We also evaluated the related income tax disclosures included in Note 13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135255</wp:posOffset>
            </wp:positionV>
            <wp:extent cx="1628775" cy="419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extLst>
                    </a:blip>
                    <a:srcRect/>
                    <a:stretch>
                      <a:fillRect/>
                    </a:stretch>
                  </pic:blipFill>
                  <pic:spPr bwMode="auto">
                    <a:xfrm>
                      <a:off x="0" y="0"/>
                      <a:ext cx="1628775" cy="4191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1160" w:space="140"/>
            <w:col w:w="9480"/>
          </w:cols>
          <w:pgMar w:left="540" w:top="1440" w:right="5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have served as the Company’s auditor since 2008.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Charlotte, North Carolina</w:t>
      </w:r>
    </w:p>
    <w:p>
      <w:pPr>
        <w:spacing w:after="0"/>
        <w:rPr>
          <w:sz w:val="20"/>
          <w:szCs w:val="20"/>
          <w:color w:val="auto"/>
        </w:rPr>
      </w:pPr>
      <w:r>
        <w:rPr>
          <w:rFonts w:ascii="Times New Roman" w:cs="Times New Roman" w:eastAsia="Times New Roman" w:hAnsi="Times New Roman"/>
          <w:sz w:val="20"/>
          <w:szCs w:val="20"/>
          <w:color w:val="1E1E1E"/>
        </w:rPr>
        <w:t>February 25, 2026</w:t>
      </w:r>
    </w:p>
    <w:p>
      <w:pPr>
        <w:sectPr>
          <w:pgSz w:w="11880" w:h="15480" w:orient="portrait"/>
          <w:cols w:equalWidth="0" w:num="1">
            <w:col w:w="10780"/>
          </w:cols>
          <w:pgMar w:left="540" w:top="1440" w:right="5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57</w:t>
      </w:r>
    </w:p>
    <w:p>
      <w:pPr>
        <w:sectPr>
          <w:pgSz w:w="11880" w:h="15480" w:orient="portrait"/>
          <w:cols w:equalWidth="0" w:num="1">
            <w:col w:w="10780"/>
          </w:cols>
          <w:pgMar w:left="540" w:top="1440" w:right="560" w:bottom="0" w:gutter="0" w:footer="0" w:header="0"/>
          <w:type w:val="continuous"/>
        </w:sectPr>
      </w:pPr>
    </w:p>
    <w:bookmarkStart w:id="67" w:name="page68"/>
    <w:bookmarkEnd w:id="67"/>
    <w:p>
      <w:pPr>
        <w:ind w:right="2900" w:firstLine="2895"/>
        <w:spacing w:after="0" w:line="442" w:lineRule="auto"/>
        <w:rPr>
          <w:sz w:val="20"/>
          <w:szCs w:val="20"/>
          <w:color w:val="auto"/>
        </w:rPr>
      </w:pPr>
      <w:r>
        <w:rPr>
          <w:rFonts w:ascii="Times New Roman" w:cs="Times New Roman" w:eastAsia="Times New Roman" w:hAnsi="Times New Roman"/>
          <w:sz w:val="20"/>
          <w:szCs w:val="20"/>
          <w:b w:val="1"/>
          <w:bCs w:val="1"/>
          <w:color w:val="1E1E1E"/>
        </w:rPr>
        <w:t xml:space="preserve">Report of Independent Registered Public Accounting Firm </w:t>
      </w:r>
      <w:r>
        <w:rPr>
          <w:rFonts w:ascii="Times New Roman" w:cs="Times New Roman" w:eastAsia="Times New Roman" w:hAnsi="Times New Roman"/>
          <w:sz w:val="20"/>
          <w:szCs w:val="20"/>
          <w:color w:val="1E1E1E"/>
        </w:rPr>
        <w:t xml:space="preserve">To the Stockholders and the Board of Directors of Vistance Networks, Inc. </w:t>
      </w:r>
      <w:r>
        <w:rPr>
          <w:rFonts w:ascii="Times New Roman" w:cs="Times New Roman" w:eastAsia="Times New Roman" w:hAnsi="Times New Roman"/>
          <w:sz w:val="20"/>
          <w:szCs w:val="20"/>
          <w:b w:val="1"/>
          <w:bCs w:val="1"/>
          <w:color w:val="1E1E1E"/>
        </w:rPr>
        <w:t>Opinion on Internal Control Over Financial Reporting</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1E1E1E"/>
        </w:rPr>
        <w:t>We have audited Vistance Networks, Inc.’s internal control over financial reporting as of December 31, 2025, based on criteria established in Internal Control—Integrated Framework issued by the Committee of Sponsoring Organizations of the Treadway Commission (2013 framework) (the COSO criteria). In our opinion, Vistance Networks, Inc. (the Company) maintained, in all material respects, effective internal control over financial reporting as of December 31, 2025, based on the COSO criteria.</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1E1E1E"/>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stockholders’ deficit and cash flows for each of the three years in the period ended December 31, 2025, and the related notes and our report dated February 25, 2026 expressed an unqualified opinion thereon.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Basis for Opinion</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1E1E1E"/>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1E1E1E"/>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1E1E1E"/>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Definition and Limitations of Internal Control Over Financial Reporting</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1628775" cy="419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extLst>
                    </a:blip>
                    <a:srcRect/>
                    <a:stretch>
                      <a:fillRect/>
                    </a:stretch>
                  </pic:blipFill>
                  <pic:spPr bwMode="auto">
                    <a:xfrm>
                      <a:off x="0" y="0"/>
                      <a:ext cx="1628775" cy="41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Charlotte, North Carolina</w:t>
      </w:r>
    </w:p>
    <w:p>
      <w:pPr>
        <w:spacing w:after="0"/>
        <w:rPr>
          <w:sz w:val="20"/>
          <w:szCs w:val="20"/>
          <w:color w:val="auto"/>
        </w:rPr>
      </w:pPr>
      <w:r>
        <w:rPr>
          <w:rFonts w:ascii="Times New Roman" w:cs="Times New Roman" w:eastAsia="Times New Roman" w:hAnsi="Times New Roman"/>
          <w:sz w:val="20"/>
          <w:szCs w:val="20"/>
          <w:color w:val="1E1E1E"/>
        </w:rPr>
        <w:t>February 25, 2026</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58</w:t>
      </w:r>
    </w:p>
    <w:p>
      <w:pPr>
        <w:sectPr>
          <w:pgSz w:w="11880" w:h="15480" w:orient="portrait"/>
          <w:cols w:equalWidth="0" w:num="1">
            <w:col w:w="10800"/>
          </w:cols>
          <w:pgMar w:left="540" w:top="1235" w:right="540" w:bottom="0" w:gutter="0" w:footer="0" w:header="0"/>
          <w:type w:val="continuous"/>
        </w:sectPr>
      </w:pPr>
    </w:p>
    <w:bookmarkStart w:id="68" w:name="page69"/>
    <w:bookmarkEnd w:id="68"/>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Consolidated Statements of Operations</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(In millions,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spacing w:after="0"/>
              <w:rPr>
                <w:sz w:val="17"/>
                <w:szCs w:val="17"/>
                <w:color w:val="auto"/>
              </w:rPr>
            </w:pPr>
          </w:p>
        </w:tc>
        <w:tc>
          <w:tcPr>
            <w:tcW w:w="60" w:type="dxa"/>
            <w:vAlign w:val="bottom"/>
            <w:tcBorders>
              <w:bottom w:val="single" w:sz="8" w:color="1E1E1E"/>
            </w:tcBorders>
          </w:tcPr>
          <w:p>
            <w:pPr>
              <w:spacing w:after="0"/>
              <w:rPr>
                <w:sz w:val="17"/>
                <w:szCs w:val="17"/>
                <w:color w:val="auto"/>
              </w:rPr>
            </w:pPr>
          </w:p>
        </w:tc>
        <w:tc>
          <w:tcPr>
            <w:tcW w:w="2060" w:type="dxa"/>
            <w:vAlign w:val="bottom"/>
            <w:tcBorders>
              <w:bottom w:val="single" w:sz="8" w:color="1E1E1E"/>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0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0" w:type="dxa"/>
            <w:vAlign w:val="bottom"/>
            <w:tcBorders>
              <w:bottom w:val="single" w:sz="8" w:color="E1E1E1"/>
            </w:tcBorders>
          </w:tcPr>
          <w:p>
            <w:pPr>
              <w:spacing w:after="0"/>
              <w:rPr>
                <w:sz w:val="16"/>
                <w:szCs w:val="16"/>
                <w:color w:val="auto"/>
              </w:rPr>
            </w:pPr>
          </w:p>
        </w:tc>
        <w:tc>
          <w:tcPr>
            <w:tcW w:w="26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Borders>
              <w:bottom w:val="single" w:sz="8" w:color="E1E1E1"/>
            </w:tcBorders>
          </w:tcPr>
          <w:p>
            <w:pPr>
              <w:spacing w:after="0"/>
              <w:rPr>
                <w:sz w:val="16"/>
                <w:szCs w:val="16"/>
                <w:color w:val="auto"/>
              </w:rPr>
            </w:pPr>
          </w:p>
        </w:tc>
        <w:tc>
          <w:tcPr>
            <w:tcW w:w="140" w:type="dxa"/>
            <w:vAlign w:val="bottom"/>
            <w:tcBorders>
              <w:bottom w:val="single" w:sz="8" w:color="E1E1E1"/>
            </w:tcBorders>
          </w:tcPr>
          <w:p>
            <w:pPr>
              <w:spacing w:after="0"/>
              <w:rPr>
                <w:sz w:val="16"/>
                <w:szCs w:val="16"/>
                <w:color w:val="auto"/>
              </w:rPr>
            </w:pPr>
          </w:p>
        </w:tc>
        <w:tc>
          <w:tcPr>
            <w:tcW w:w="300" w:type="dxa"/>
            <w:vAlign w:val="bottom"/>
            <w:tcBorders>
              <w:bottom w:val="single" w:sz="8" w:color="1E1E1E"/>
            </w:tcBorders>
          </w:tcPr>
          <w:p>
            <w:pPr>
              <w:spacing w:after="0"/>
              <w:rPr>
                <w:sz w:val="16"/>
                <w:szCs w:val="16"/>
                <w:color w:val="auto"/>
              </w:rPr>
            </w:pPr>
          </w:p>
        </w:tc>
        <w:tc>
          <w:tcPr>
            <w:tcW w:w="1020" w:type="dxa"/>
            <w:vAlign w:val="bottom"/>
            <w:tcBorders>
              <w:bottom w:val="single" w:sz="8" w:color="1E1E1E"/>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sales</w:t>
            </w: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1,931.6</w:t>
            </w:r>
          </w:p>
        </w:tc>
        <w:tc>
          <w:tcPr>
            <w:tcW w:w="6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1,382.6</w:t>
            </w:r>
          </w:p>
        </w:tc>
        <w:tc>
          <w:tcPr>
            <w:tcW w:w="180" w:type="dxa"/>
            <w:vAlign w:val="bottom"/>
            <w:shd w:val="clear" w:color="auto" w:fill="E1E1E1"/>
          </w:tcPr>
          <w:p>
            <w:pPr>
              <w:spacing w:after="0"/>
              <w:rPr>
                <w:sz w:val="20"/>
                <w:szCs w:val="20"/>
                <w:color w:val="auto"/>
              </w:rPr>
            </w:pPr>
          </w:p>
        </w:tc>
        <w:tc>
          <w:tcPr>
            <w:tcW w:w="140" w:type="dxa"/>
            <w:vAlign w:val="bottom"/>
            <w:shd w:val="clear" w:color="auto" w:fill="E1E1E1"/>
          </w:tcPr>
          <w:p>
            <w:pPr>
              <w:spacing w:after="0"/>
              <w:rPr>
                <w:sz w:val="20"/>
                <w:szCs w:val="20"/>
                <w:color w:val="auto"/>
              </w:rPr>
            </w:pPr>
          </w:p>
        </w:tc>
        <w:tc>
          <w:tcPr>
            <w:tcW w:w="300" w:type="dxa"/>
            <w:vAlign w:val="bottom"/>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1,863.8</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Cost of sales</w:t>
            </w:r>
          </w:p>
        </w:tc>
        <w:tc>
          <w:tcPr>
            <w:tcW w:w="260" w:type="dxa"/>
            <w:vAlign w:val="bottom"/>
            <w:tcBorders>
              <w:bottom w:val="single" w:sz="8" w:color="1E1E1E"/>
            </w:tcBorders>
          </w:tcPr>
          <w:p>
            <w:pPr>
              <w:spacing w:after="0"/>
              <w:rPr>
                <w:sz w:val="21"/>
                <w:szCs w:val="21"/>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975.7</w:t>
            </w:r>
          </w:p>
        </w:tc>
        <w:tc>
          <w:tcPr>
            <w:tcW w:w="60" w:type="dxa"/>
            <w:vAlign w:val="bottom"/>
            <w:tcBorders>
              <w:bottom w:val="single" w:sz="8" w:color="E1E1E1"/>
            </w:tcBorders>
          </w:tcPr>
          <w:p>
            <w:pPr>
              <w:spacing w:after="0"/>
              <w:rPr>
                <w:sz w:val="21"/>
                <w:szCs w:val="21"/>
                <w:color w:val="auto"/>
              </w:rPr>
            </w:pPr>
          </w:p>
        </w:tc>
        <w:tc>
          <w:tcPr>
            <w:tcW w:w="260" w:type="dxa"/>
            <w:vAlign w:val="bottom"/>
            <w:tcBorders>
              <w:bottom w:val="single" w:sz="8" w:color="E1E1E1"/>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777.5</w:t>
            </w:r>
          </w:p>
        </w:tc>
        <w:tc>
          <w:tcPr>
            <w:tcW w:w="180" w:type="dxa"/>
            <w:vAlign w:val="bottom"/>
            <w:tcBorders>
              <w:bottom w:val="single" w:sz="8" w:color="E1E1E1"/>
            </w:tcBorders>
          </w:tcPr>
          <w:p>
            <w:pPr>
              <w:spacing w:after="0"/>
              <w:rPr>
                <w:sz w:val="21"/>
                <w:szCs w:val="21"/>
                <w:color w:val="auto"/>
              </w:rPr>
            </w:pPr>
          </w:p>
        </w:tc>
        <w:tc>
          <w:tcPr>
            <w:tcW w:w="140" w:type="dxa"/>
            <w:vAlign w:val="bottom"/>
            <w:tcBorders>
              <w:bottom w:val="single" w:sz="8" w:color="E1E1E1"/>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963.5</w:t>
            </w:r>
          </w:p>
        </w:tc>
        <w:tc>
          <w:tcPr>
            <w:tcW w:w="8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Gross profit</w:t>
            </w:r>
          </w:p>
        </w:tc>
        <w:tc>
          <w:tcPr>
            <w:tcW w:w="26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955.9</w:t>
            </w:r>
          </w:p>
        </w:tc>
        <w:tc>
          <w:tcPr>
            <w:tcW w:w="6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605.1</w:t>
            </w:r>
          </w:p>
        </w:tc>
        <w:tc>
          <w:tcPr>
            <w:tcW w:w="180" w:type="dxa"/>
            <w:vAlign w:val="bottom"/>
            <w:shd w:val="clear" w:color="auto" w:fill="E1E1E1"/>
          </w:tcPr>
          <w:p>
            <w:pPr>
              <w:spacing w:after="0"/>
              <w:rPr>
                <w:sz w:val="20"/>
                <w:szCs w:val="20"/>
                <w:color w:val="auto"/>
              </w:rPr>
            </w:pPr>
          </w:p>
        </w:tc>
        <w:tc>
          <w:tcPr>
            <w:tcW w:w="140" w:type="dxa"/>
            <w:vAlign w:val="bottom"/>
            <w:shd w:val="clear" w:color="auto" w:fill="E1E1E1"/>
          </w:tcPr>
          <w:p>
            <w:pPr>
              <w:spacing w:after="0"/>
              <w:rPr>
                <w:sz w:val="20"/>
                <w:szCs w:val="20"/>
                <w:color w:val="auto"/>
              </w:rPr>
            </w:pPr>
          </w:p>
        </w:tc>
        <w:tc>
          <w:tcPr>
            <w:tcW w:w="300" w:type="dxa"/>
            <w:vAlign w:val="bottom"/>
            <w:shd w:val="clear" w:color="auto" w:fill="E1E1E1"/>
          </w:tcPr>
          <w:p>
            <w:pPr>
              <w:spacing w:after="0"/>
              <w:rPr>
                <w:sz w:val="20"/>
                <w:szCs w:val="20"/>
                <w:color w:val="auto"/>
              </w:rPr>
            </w:pPr>
          </w:p>
        </w:tc>
        <w:tc>
          <w:tcPr>
            <w:tcW w:w="10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900.3</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1E1E1E"/>
              </w:rPr>
              <w:t>Transition service agreement income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expenses:</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0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Selling, general and administrative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497.4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472.0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283.5</w:t>
            </w: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247.5</w:t>
            </w:r>
          </w:p>
        </w:tc>
        <w:tc>
          <w:tcPr>
            <w:tcW w:w="1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0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318.8</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Amortization of purchased intangible assets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138.4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165.1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Restructuring costs, net</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19.7</w:t>
            </w: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36.7</w:t>
            </w:r>
          </w:p>
        </w:tc>
        <w:tc>
          <w:tcPr>
            <w:tcW w:w="1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0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29.4</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Asset impairments</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Other</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9"/>
        </w:trPr>
        <w:tc>
          <w:tcPr>
            <w:tcW w:w="6400" w:type="dxa"/>
            <w:vAlign w:val="bottom"/>
            <w:tcBorders>
              <w:bottom w:val="single" w:sz="8" w:color="E1E1E1"/>
            </w:tcBorders>
          </w:tcPr>
          <w:p>
            <w:pPr>
              <w:ind w:left="200"/>
              <w:spacing w:after="0"/>
              <w:rPr>
                <w:sz w:val="20"/>
                <w:szCs w:val="20"/>
                <w:color w:val="auto"/>
              </w:rPr>
            </w:pPr>
            <w:r>
              <w:rPr>
                <w:rFonts w:ascii="Times New Roman" w:cs="Times New Roman" w:eastAsia="Times New Roman" w:hAnsi="Times New Roman"/>
                <w:sz w:val="20"/>
                <w:szCs w:val="20"/>
                <w:color w:val="1E1E1E"/>
              </w:rPr>
              <w:t>Total operating expenses</w:t>
            </w:r>
          </w:p>
        </w:tc>
        <w:tc>
          <w:tcPr>
            <w:tcW w:w="260" w:type="dxa"/>
            <w:vAlign w:val="bottom"/>
            <w:tcBorders>
              <w:top w:val="single" w:sz="8" w:color="1E1E1E"/>
              <w:bottom w:val="single" w:sz="8" w:color="1E1E1E"/>
            </w:tcBorders>
          </w:tcPr>
          <w:p>
            <w:pPr>
              <w:spacing w:after="0"/>
              <w:rPr>
                <w:sz w:val="20"/>
                <w:szCs w:val="20"/>
                <w:color w:val="auto"/>
              </w:rPr>
            </w:pPr>
          </w:p>
        </w:tc>
        <w:tc>
          <w:tcPr>
            <w:tcW w:w="9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943.8</w:t>
            </w:r>
          </w:p>
        </w:tc>
        <w:tc>
          <w:tcPr>
            <w:tcW w:w="60" w:type="dxa"/>
            <w:vAlign w:val="bottom"/>
            <w:tcBorders>
              <w:bottom w:val="single" w:sz="8" w:color="E1E1E1"/>
            </w:tcBorders>
          </w:tcPr>
          <w:p>
            <w:pPr>
              <w:spacing w:after="0"/>
              <w:rPr>
                <w:sz w:val="20"/>
                <w:szCs w:val="20"/>
                <w:color w:val="auto"/>
              </w:rPr>
            </w:pPr>
          </w:p>
        </w:tc>
        <w:tc>
          <w:tcPr>
            <w:tcW w:w="260" w:type="dxa"/>
            <w:vAlign w:val="bottom"/>
            <w:tcBorders>
              <w:bottom w:val="single" w:sz="8" w:color="E1E1E1"/>
            </w:tcBorders>
          </w:tcPr>
          <w:p>
            <w:pPr>
              <w:spacing w:after="0"/>
              <w:rPr>
                <w:sz w:val="20"/>
                <w:szCs w:val="20"/>
                <w:color w:val="auto"/>
              </w:rPr>
            </w:pPr>
          </w:p>
        </w:tc>
        <w:tc>
          <w:tcPr>
            <w:tcW w:w="260" w:type="dxa"/>
            <w:vAlign w:val="bottom"/>
            <w:tcBorders>
              <w:top w:val="single" w:sz="8" w:color="1E1E1E"/>
              <w:bottom w:val="single" w:sz="8" w:color="1E1E1E"/>
            </w:tcBorders>
          </w:tcPr>
          <w:p>
            <w:pPr>
              <w:spacing w:after="0"/>
              <w:rPr>
                <w:sz w:val="20"/>
                <w:szCs w:val="20"/>
                <w:color w:val="auto"/>
              </w:rPr>
            </w:pPr>
          </w:p>
        </w:tc>
        <w:tc>
          <w:tcPr>
            <w:tcW w:w="9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921.3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1E1E1E"/>
              <w:bottom w:val="single" w:sz="8" w:color="1E1E1E"/>
            </w:tcBorders>
          </w:tcPr>
          <w:p>
            <w:pPr>
              <w:spacing w:after="0"/>
              <w:rPr>
                <w:sz w:val="20"/>
                <w:szCs w:val="20"/>
                <w:color w:val="auto"/>
              </w:rPr>
            </w:pPr>
          </w:p>
        </w:tc>
        <w:tc>
          <w:tcPr>
            <w:tcW w:w="10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1,559.9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income (loss)</w:t>
            </w:r>
          </w:p>
        </w:tc>
        <w:tc>
          <w:tcPr>
            <w:tcW w:w="26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47.6</w:t>
            </w:r>
          </w:p>
        </w:tc>
        <w:tc>
          <w:tcPr>
            <w:tcW w:w="6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(291.7)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(659.6)</w:t>
            </w: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Interest income</w:t>
            </w:r>
          </w:p>
        </w:tc>
        <w:tc>
          <w:tcPr>
            <w:tcW w:w="260" w:type="dxa"/>
            <w:vAlign w:val="bottom"/>
            <w:tcBorders>
              <w:bottom w:val="single" w:sz="8" w:color="1E1E1E"/>
            </w:tcBorders>
            <w:shd w:val="clear" w:color="auto" w:fill="E1E1E1"/>
          </w:tcPr>
          <w:p>
            <w:pPr>
              <w:spacing w:after="0"/>
              <w:rPr>
                <w:sz w:val="21"/>
                <w:szCs w:val="21"/>
                <w:color w:val="auto"/>
              </w:rPr>
            </w:pPr>
          </w:p>
        </w:tc>
        <w:tc>
          <w:tcPr>
            <w:tcW w:w="9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16.7</w:t>
            </w: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tcBorders>
              <w:bottom w:val="single" w:sz="8" w:color="1E1E1E"/>
            </w:tcBorders>
            <w:shd w:val="clear" w:color="auto" w:fill="E1E1E1"/>
          </w:tcPr>
          <w:p>
            <w:pPr>
              <w:spacing w:after="0"/>
              <w:rPr>
                <w:sz w:val="21"/>
                <w:szCs w:val="21"/>
                <w:color w:val="auto"/>
              </w:rPr>
            </w:pPr>
          </w:p>
        </w:tc>
        <w:tc>
          <w:tcPr>
            <w:tcW w:w="9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1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300" w:type="dxa"/>
            <w:vAlign w:val="bottom"/>
            <w:tcBorders>
              <w:bottom w:val="single" w:sz="8" w:color="1E1E1E"/>
            </w:tcBorders>
            <w:shd w:val="clear" w:color="auto" w:fill="E1E1E1"/>
          </w:tcPr>
          <w:p>
            <w:pPr>
              <w:spacing w:after="0"/>
              <w:rPr>
                <w:sz w:val="21"/>
                <w:szCs w:val="21"/>
                <w:color w:val="auto"/>
              </w:rPr>
            </w:pPr>
          </w:p>
        </w:tc>
        <w:tc>
          <w:tcPr>
            <w:tcW w:w="10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11.1</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1E1E1E"/>
              </w:rPr>
              <w:t>Income (loss) from continuing operations before income taxes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(272.9)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(573.0)</w:t>
            </w: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Income tax (expense) benefit</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269.4</w:t>
            </w: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66.9</w:t>
            </w:r>
          </w:p>
        </w:tc>
        <w:tc>
          <w:tcPr>
            <w:tcW w:w="1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(79.8)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Income (loss) from continuing operations</w:t>
            </w: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2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4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324.3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(206.0)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(652.8)</w:t>
            </w:r>
          </w:p>
        </w:tc>
        <w:tc>
          <w:tcPr>
            <w:tcW w:w="0" w:type="dxa"/>
            <w:vAlign w:val="bottom"/>
          </w:tcPr>
          <w:p>
            <w:pPr>
              <w:spacing w:after="0"/>
              <w:rPr>
                <w:sz w:val="1"/>
                <w:szCs w:val="1"/>
                <w:color w:val="auto"/>
              </w:rPr>
            </w:pPr>
          </w:p>
        </w:tc>
      </w:tr>
      <w:tr>
        <w:trPr>
          <w:trHeight w:val="223"/>
        </w:trPr>
        <w:tc>
          <w:tcPr>
            <w:tcW w:w="6400" w:type="dxa"/>
            <w:vAlign w:val="bottom"/>
            <w:shd w:val="clear" w:color="auto" w:fill="E1E1E1"/>
          </w:tcPr>
          <w:p>
            <w:pPr>
              <w:spacing w:after="0" w:line="223" w:lineRule="exact"/>
              <w:rPr>
                <w:sz w:val="20"/>
                <w:szCs w:val="20"/>
                <w:color w:val="auto"/>
              </w:rPr>
            </w:pPr>
            <w:r>
              <w:rPr>
                <w:rFonts w:ascii="Times New Roman" w:cs="Times New Roman" w:eastAsia="Times New Roman" w:hAnsi="Times New Roman"/>
                <w:sz w:val="20"/>
                <w:szCs w:val="20"/>
                <w:color w:val="1E1E1E"/>
              </w:rPr>
              <w:t>Income (loss) from discontinued operations, net of income tax</w:t>
            </w:r>
          </w:p>
        </w:tc>
        <w:tc>
          <w:tcPr>
            <w:tcW w:w="260" w:type="dxa"/>
            <w:vAlign w:val="bottom"/>
            <w:shd w:val="clear" w:color="auto" w:fill="E1E1E1"/>
          </w:tcPr>
          <w:p>
            <w:pPr>
              <w:spacing w:after="0"/>
              <w:rPr>
                <w:sz w:val="19"/>
                <w:szCs w:val="19"/>
                <w:color w:val="auto"/>
              </w:rPr>
            </w:pPr>
          </w:p>
        </w:tc>
        <w:tc>
          <w:tcPr>
            <w:tcW w:w="920" w:type="dxa"/>
            <w:vAlign w:val="bottom"/>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920" w:type="dxa"/>
            <w:vAlign w:val="bottom"/>
            <w:shd w:val="clear" w:color="auto" w:fill="E1E1E1"/>
          </w:tcPr>
          <w:p>
            <w:pPr>
              <w:spacing w:after="0"/>
              <w:rPr>
                <w:sz w:val="19"/>
                <w:szCs w:val="19"/>
                <w:color w:val="auto"/>
              </w:rPr>
            </w:pPr>
          </w:p>
        </w:tc>
        <w:tc>
          <w:tcPr>
            <w:tcW w:w="180" w:type="dxa"/>
            <w:vAlign w:val="bottom"/>
            <w:shd w:val="clear" w:color="auto" w:fill="E1E1E1"/>
          </w:tcPr>
          <w:p>
            <w:pPr>
              <w:spacing w:after="0"/>
              <w:rPr>
                <w:sz w:val="19"/>
                <w:szCs w:val="19"/>
                <w:color w:val="auto"/>
              </w:rPr>
            </w:pPr>
          </w:p>
        </w:tc>
        <w:tc>
          <w:tcPr>
            <w:tcW w:w="140" w:type="dxa"/>
            <w:vAlign w:val="bottom"/>
            <w:shd w:val="clear" w:color="auto" w:fill="E1E1E1"/>
          </w:tcPr>
          <w:p>
            <w:pPr>
              <w:spacing w:after="0"/>
              <w:rPr>
                <w:sz w:val="19"/>
                <w:szCs w:val="19"/>
                <w:color w:val="auto"/>
              </w:rPr>
            </w:pPr>
          </w:p>
        </w:tc>
        <w:tc>
          <w:tcPr>
            <w:tcW w:w="300" w:type="dxa"/>
            <w:vAlign w:val="bottom"/>
            <w:shd w:val="clear" w:color="auto" w:fill="E1E1E1"/>
          </w:tcPr>
          <w:p>
            <w:pPr>
              <w:spacing w:after="0"/>
              <w:rPr>
                <w:sz w:val="19"/>
                <w:szCs w:val="19"/>
                <w:color w:val="auto"/>
              </w:rPr>
            </w:pPr>
          </w:p>
        </w:tc>
        <w:tc>
          <w:tcPr>
            <w:tcW w:w="102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400" w:type="dxa"/>
            <w:vAlign w:val="bottom"/>
            <w:shd w:val="clear" w:color="auto" w:fill="E1E1E1"/>
          </w:tcPr>
          <w:p>
            <w:pPr>
              <w:ind w:left="160"/>
              <w:spacing w:after="0"/>
              <w:rPr>
                <w:sz w:val="20"/>
                <w:szCs w:val="20"/>
                <w:color w:val="auto"/>
              </w:rPr>
            </w:pPr>
            <w:r>
              <w:rPr>
                <w:rFonts w:ascii="Times New Roman" w:cs="Times New Roman" w:eastAsia="Times New Roman" w:hAnsi="Times New Roman"/>
                <w:sz w:val="20"/>
                <w:szCs w:val="20"/>
                <w:color w:val="1E1E1E"/>
              </w:rPr>
              <w:t>(expense) benefit of $865.1, $(213.6) and $99.6, respectively</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1,959.4</w:t>
            </w: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(109.5)</w:t>
            </w: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(854.0)</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Net income (loss)</w:t>
            </w: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2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4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2,283.7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(315.5)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(1,506.8)</w:t>
            </w: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Series A convertible preferred stock dividends</w:t>
            </w:r>
          </w:p>
        </w:tc>
        <w:tc>
          <w:tcPr>
            <w:tcW w:w="26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(68.9)</w:t>
            </w: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(65.2)</w:t>
            </w: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(61.8)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Net income (loss) attributable to common stockholders</w:t>
            </w: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2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400" w:type="dxa"/>
            <w:vAlign w:val="bottom"/>
            <w:vMerge w:val="continue"/>
          </w:tcPr>
          <w:p>
            <w:pPr>
              <w:spacing w:after="0"/>
              <w:rPr>
                <w:sz w:val="24"/>
                <w:szCs w:val="24"/>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2,214.8</w:t>
            </w:r>
          </w:p>
        </w:tc>
        <w:tc>
          <w:tcPr>
            <w:tcW w:w="6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(380.7)</w:t>
            </w:r>
          </w:p>
        </w:tc>
        <w:tc>
          <w:tcPr>
            <w:tcW w:w="140" w:type="dxa"/>
            <w:vAlign w:val="bottom"/>
            <w:vMerge w:val="continue"/>
          </w:tcPr>
          <w:p>
            <w:pPr>
              <w:spacing w:after="0"/>
              <w:rPr>
                <w:sz w:val="24"/>
                <w:szCs w:val="24"/>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(1,568.6)</w:t>
            </w:r>
          </w:p>
        </w:tc>
        <w:tc>
          <w:tcPr>
            <w:tcW w:w="0" w:type="dxa"/>
            <w:vAlign w:val="bottom"/>
          </w:tcPr>
          <w:p>
            <w:pPr>
              <w:spacing w:after="0"/>
              <w:rPr>
                <w:sz w:val="1"/>
                <w:szCs w:val="1"/>
                <w:color w:val="auto"/>
              </w:rPr>
            </w:pPr>
          </w:p>
        </w:tc>
      </w:tr>
      <w:tr>
        <w:trPr>
          <w:trHeight w:val="229"/>
        </w:trPr>
        <w:tc>
          <w:tcPr>
            <w:tcW w:w="6400" w:type="dxa"/>
            <w:vAlign w:val="bottom"/>
            <w:tcBorders>
              <w:top w:val="single" w:sz="8" w:color="E1E1E1"/>
            </w:tcBorders>
            <w:shd w:val="clear" w:color="auto" w:fill="E1E1E1"/>
          </w:tcPr>
          <w:p>
            <w:pPr>
              <w:spacing w:after="0"/>
              <w:rPr>
                <w:sz w:val="19"/>
                <w:szCs w:val="19"/>
                <w:color w:val="auto"/>
              </w:rPr>
            </w:pPr>
          </w:p>
        </w:tc>
        <w:tc>
          <w:tcPr>
            <w:tcW w:w="260" w:type="dxa"/>
            <w:vAlign w:val="bottom"/>
            <w:tcBorders>
              <w:top w:val="single" w:sz="8" w:color="1E1E1E"/>
            </w:tcBorders>
            <w:shd w:val="clear" w:color="auto" w:fill="E1E1E1"/>
          </w:tcPr>
          <w:p>
            <w:pPr>
              <w:spacing w:after="0"/>
              <w:rPr>
                <w:sz w:val="19"/>
                <w:szCs w:val="19"/>
                <w:color w:val="auto"/>
              </w:rPr>
            </w:pPr>
          </w:p>
        </w:tc>
        <w:tc>
          <w:tcPr>
            <w:tcW w:w="920" w:type="dxa"/>
            <w:vAlign w:val="bottom"/>
            <w:tcBorders>
              <w:top w:val="single" w:sz="8" w:color="1E1E1E"/>
            </w:tcBorders>
            <w:shd w:val="clear" w:color="auto" w:fill="E1E1E1"/>
          </w:tcPr>
          <w:p>
            <w:pPr>
              <w:spacing w:after="0"/>
              <w:rPr>
                <w:sz w:val="19"/>
                <w:szCs w:val="19"/>
                <w:color w:val="auto"/>
              </w:rPr>
            </w:pPr>
          </w:p>
        </w:tc>
        <w:tc>
          <w:tcPr>
            <w:tcW w:w="60" w:type="dxa"/>
            <w:vAlign w:val="bottom"/>
            <w:tcBorders>
              <w:top w:val="single" w:sz="8" w:color="E1E1E1"/>
            </w:tcBorders>
            <w:shd w:val="clear" w:color="auto" w:fill="E1E1E1"/>
          </w:tcPr>
          <w:p>
            <w:pPr>
              <w:spacing w:after="0"/>
              <w:rPr>
                <w:sz w:val="19"/>
                <w:szCs w:val="19"/>
                <w:color w:val="auto"/>
              </w:rPr>
            </w:pPr>
          </w:p>
        </w:tc>
        <w:tc>
          <w:tcPr>
            <w:tcW w:w="260" w:type="dxa"/>
            <w:vAlign w:val="bottom"/>
            <w:tcBorders>
              <w:top w:val="single" w:sz="8" w:color="E1E1E1"/>
            </w:tcBorders>
            <w:shd w:val="clear" w:color="auto" w:fill="E1E1E1"/>
          </w:tcPr>
          <w:p>
            <w:pPr>
              <w:spacing w:after="0"/>
              <w:rPr>
                <w:sz w:val="19"/>
                <w:szCs w:val="19"/>
                <w:color w:val="auto"/>
              </w:rPr>
            </w:pPr>
          </w:p>
        </w:tc>
        <w:tc>
          <w:tcPr>
            <w:tcW w:w="260" w:type="dxa"/>
            <w:vAlign w:val="bottom"/>
            <w:tcBorders>
              <w:top w:val="single" w:sz="8" w:color="1E1E1E"/>
            </w:tcBorders>
            <w:shd w:val="clear" w:color="auto" w:fill="E1E1E1"/>
          </w:tcPr>
          <w:p>
            <w:pPr>
              <w:spacing w:after="0"/>
              <w:rPr>
                <w:sz w:val="19"/>
                <w:szCs w:val="19"/>
                <w:color w:val="auto"/>
              </w:rPr>
            </w:pPr>
          </w:p>
        </w:tc>
        <w:tc>
          <w:tcPr>
            <w:tcW w:w="920" w:type="dxa"/>
            <w:vAlign w:val="bottom"/>
            <w:tcBorders>
              <w:top w:val="single" w:sz="8" w:color="1E1E1E"/>
            </w:tcBorders>
            <w:shd w:val="clear" w:color="auto" w:fill="E1E1E1"/>
          </w:tcPr>
          <w:p>
            <w:pPr>
              <w:spacing w:after="0"/>
              <w:rPr>
                <w:sz w:val="19"/>
                <w:szCs w:val="19"/>
                <w:color w:val="auto"/>
              </w:rPr>
            </w:pPr>
          </w:p>
        </w:tc>
        <w:tc>
          <w:tcPr>
            <w:tcW w:w="180" w:type="dxa"/>
            <w:vAlign w:val="bottom"/>
            <w:tcBorders>
              <w:top w:val="single" w:sz="8" w:color="E1E1E1"/>
            </w:tcBorders>
            <w:shd w:val="clear" w:color="auto" w:fill="E1E1E1"/>
          </w:tcPr>
          <w:p>
            <w:pPr>
              <w:spacing w:after="0"/>
              <w:rPr>
                <w:sz w:val="19"/>
                <w:szCs w:val="19"/>
                <w:color w:val="auto"/>
              </w:rPr>
            </w:pPr>
          </w:p>
        </w:tc>
        <w:tc>
          <w:tcPr>
            <w:tcW w:w="140" w:type="dxa"/>
            <w:vAlign w:val="bottom"/>
            <w:tcBorders>
              <w:top w:val="single" w:sz="8" w:color="E1E1E1"/>
            </w:tcBorders>
            <w:shd w:val="clear" w:color="auto" w:fill="E1E1E1"/>
          </w:tcPr>
          <w:p>
            <w:pPr>
              <w:spacing w:after="0"/>
              <w:rPr>
                <w:sz w:val="19"/>
                <w:szCs w:val="19"/>
                <w:color w:val="auto"/>
              </w:rPr>
            </w:pPr>
          </w:p>
        </w:tc>
        <w:tc>
          <w:tcPr>
            <w:tcW w:w="300" w:type="dxa"/>
            <w:vAlign w:val="bottom"/>
            <w:tcBorders>
              <w:top w:val="single" w:sz="8" w:color="1E1E1E"/>
            </w:tcBorders>
            <w:shd w:val="clear" w:color="auto" w:fill="E1E1E1"/>
          </w:tcPr>
          <w:p>
            <w:pPr>
              <w:spacing w:after="0"/>
              <w:rPr>
                <w:sz w:val="19"/>
                <w:szCs w:val="19"/>
                <w:color w:val="auto"/>
              </w:rPr>
            </w:pPr>
          </w:p>
        </w:tc>
        <w:tc>
          <w:tcPr>
            <w:tcW w:w="1020" w:type="dxa"/>
            <w:vAlign w:val="bottom"/>
            <w:tcBorders>
              <w:top w:val="single" w:sz="8" w:color="1E1E1E"/>
            </w:tcBorders>
            <w:shd w:val="clear" w:color="auto" w:fill="E1E1E1"/>
          </w:tcPr>
          <w:p>
            <w:pPr>
              <w:spacing w:after="0"/>
              <w:rPr>
                <w:sz w:val="19"/>
                <w:szCs w:val="19"/>
                <w:color w:val="auto"/>
              </w:rPr>
            </w:pPr>
          </w:p>
        </w:tc>
        <w:tc>
          <w:tcPr>
            <w:tcW w:w="80" w:type="dxa"/>
            <w:vAlign w:val="bottom"/>
            <w:tcBorders>
              <w:top w:val="single" w:sz="8" w:color="E1E1E1"/>
            </w:tcBorders>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1E1E1E"/>
              </w:rPr>
              <w:t>Basic:</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Earnings (loss) from continuing operations per share</w:t>
            </w: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1.16</w:t>
            </w:r>
          </w:p>
        </w:tc>
        <w:tc>
          <w:tcPr>
            <w:tcW w:w="60" w:type="dxa"/>
            <w:vAlign w:val="bottom"/>
            <w:shd w:val="clear" w:color="auto" w:fill="E1E1E1"/>
          </w:tcPr>
          <w:p>
            <w:pPr>
              <w:spacing w:after="0"/>
              <w:rPr>
                <w:sz w:val="21"/>
                <w:szCs w:val="21"/>
                <w:color w:val="auto"/>
              </w:rPr>
            </w:pPr>
          </w:p>
        </w:tc>
        <w:tc>
          <w:tcPr>
            <w:tcW w:w="520" w:type="dxa"/>
            <w:vAlign w:val="bottom"/>
            <w:gridSpan w:val="2"/>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(1.27)</w:t>
            </w:r>
          </w:p>
        </w:tc>
        <w:tc>
          <w:tcPr>
            <w:tcW w:w="44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(3.39)</w:t>
            </w: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1E1E1E"/>
              </w:rPr>
              <w:t>Earnings (loss) from discontinued operations per share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(0.51)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(4.05)</w:t>
            </w:r>
          </w:p>
        </w:tc>
        <w:tc>
          <w:tcPr>
            <w:tcW w:w="0" w:type="dxa"/>
            <w:vAlign w:val="bottom"/>
          </w:tcPr>
          <w:p>
            <w:pPr>
              <w:spacing w:after="0"/>
              <w:rPr>
                <w:sz w:val="1"/>
                <w:szCs w:val="1"/>
                <w:color w:val="auto"/>
              </w:rPr>
            </w:pPr>
          </w:p>
        </w:tc>
      </w:tr>
      <w:tr>
        <w:trPr>
          <w:trHeight w:val="239"/>
        </w:trPr>
        <w:tc>
          <w:tcPr>
            <w:tcW w:w="64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Earnings (loss) per share</w:t>
            </w:r>
          </w:p>
        </w:tc>
        <w:tc>
          <w:tcPr>
            <w:tcW w:w="260" w:type="dxa"/>
            <w:vAlign w:val="bottom"/>
            <w:tcBorders>
              <w:top w:val="single" w:sz="8" w:color="1E1E1E"/>
              <w:bottom w:val="single" w:sz="8" w:color="1E1E1E"/>
            </w:tcBorders>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10.09</w:t>
            </w:r>
          </w:p>
        </w:tc>
        <w:tc>
          <w:tcPr>
            <w:tcW w:w="60" w:type="dxa"/>
            <w:vAlign w:val="bottom"/>
            <w:tcBorders>
              <w:top w:val="single" w:sz="8" w:color="E1E1E1"/>
            </w:tcBorders>
            <w:shd w:val="clear" w:color="auto" w:fill="E1E1E1"/>
          </w:tcPr>
          <w:p>
            <w:pPr>
              <w:spacing w:after="0"/>
              <w:rPr>
                <w:sz w:val="20"/>
                <w:szCs w:val="20"/>
                <w:color w:val="auto"/>
              </w:rPr>
            </w:pPr>
          </w:p>
        </w:tc>
        <w:tc>
          <w:tcPr>
            <w:tcW w:w="260" w:type="dxa"/>
            <w:vAlign w:val="bottom"/>
            <w:tcBorders>
              <w:top w:val="single" w:sz="8" w:color="E1E1E1"/>
            </w:tcBorders>
            <w:shd w:val="clear" w:color="auto" w:fill="E1E1E1"/>
          </w:tcPr>
          <w:p>
            <w:pPr>
              <w:spacing w:after="0"/>
              <w:rPr>
                <w:sz w:val="20"/>
                <w:szCs w:val="20"/>
                <w:color w:val="auto"/>
              </w:rPr>
            </w:pPr>
          </w:p>
        </w:tc>
        <w:tc>
          <w:tcPr>
            <w:tcW w:w="260" w:type="dxa"/>
            <w:vAlign w:val="bottom"/>
            <w:tcBorders>
              <w:top w:val="single" w:sz="8" w:color="1E1E1E"/>
              <w:bottom w:val="single" w:sz="8" w:color="1E1E1E"/>
            </w:tcBorders>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(1.78)</w:t>
            </w:r>
          </w:p>
        </w:tc>
        <w:tc>
          <w:tcPr>
            <w:tcW w:w="180" w:type="dxa"/>
            <w:vAlign w:val="bottom"/>
            <w:tcBorders>
              <w:top w:val="single" w:sz="8" w:color="E1E1E1"/>
            </w:tcBorders>
            <w:shd w:val="clear" w:color="auto" w:fill="E1E1E1"/>
          </w:tcPr>
          <w:p>
            <w:pPr>
              <w:spacing w:after="0"/>
              <w:rPr>
                <w:sz w:val="20"/>
                <w:szCs w:val="20"/>
                <w:color w:val="auto"/>
              </w:rPr>
            </w:pPr>
          </w:p>
        </w:tc>
        <w:tc>
          <w:tcPr>
            <w:tcW w:w="140" w:type="dxa"/>
            <w:vAlign w:val="bottom"/>
            <w:tcBorders>
              <w:top w:val="single" w:sz="8" w:color="E1E1E1"/>
            </w:tcBorders>
            <w:shd w:val="clear" w:color="auto" w:fill="E1E1E1"/>
          </w:tcPr>
          <w:p>
            <w:pPr>
              <w:spacing w:after="0"/>
              <w:rPr>
                <w:sz w:val="20"/>
                <w:szCs w:val="20"/>
                <w:color w:val="auto"/>
              </w:rPr>
            </w:pPr>
          </w:p>
        </w:tc>
        <w:tc>
          <w:tcPr>
            <w:tcW w:w="300" w:type="dxa"/>
            <w:vAlign w:val="bottom"/>
            <w:tcBorders>
              <w:top w:val="single" w:sz="8" w:color="1E1E1E"/>
              <w:bottom w:val="single" w:sz="8" w:color="1E1E1E"/>
            </w:tcBorders>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(7.44)</w:t>
            </w: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Diluted:</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0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1E1E1E"/>
              </w:rPr>
              <w:t>Earnings (loss) from continuing operations per share</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1.11</w:t>
            </w:r>
          </w:p>
        </w:tc>
        <w:tc>
          <w:tcPr>
            <w:tcW w:w="6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(1.27)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(3.39)</w:t>
            </w: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Earnings (loss) from discontinued operations per share</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8.52</w:t>
            </w: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(0.51)</w:t>
            </w: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(4.05)</w:t>
            </w:r>
          </w:p>
        </w:tc>
        <w:tc>
          <w:tcPr>
            <w:tcW w:w="0" w:type="dxa"/>
            <w:vAlign w:val="bottom"/>
          </w:tcPr>
          <w:p>
            <w:pPr>
              <w:spacing w:after="0"/>
              <w:rPr>
                <w:sz w:val="1"/>
                <w:szCs w:val="1"/>
                <w:color w:val="auto"/>
              </w:rPr>
            </w:pPr>
          </w:p>
        </w:tc>
      </w:tr>
      <w:tr>
        <w:trPr>
          <w:trHeight w:val="279"/>
        </w:trPr>
        <w:tc>
          <w:tcPr>
            <w:tcW w:w="640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Earnings (loss) per share</w:t>
            </w:r>
          </w:p>
        </w:tc>
        <w:tc>
          <w:tcPr>
            <w:tcW w:w="260" w:type="dxa"/>
            <w:vAlign w:val="bottom"/>
            <w:tcBorders>
              <w:top w:val="single" w:sz="8" w:color="1E1E1E"/>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9.63</w:t>
            </w:r>
          </w:p>
        </w:tc>
        <w:tc>
          <w:tcPr>
            <w:tcW w:w="60" w:type="dxa"/>
            <w:vAlign w:val="bottom"/>
            <w:tcBorders>
              <w:bottom w:val="single" w:sz="8" w:color="E1E1E1"/>
            </w:tcBorders>
          </w:tcPr>
          <w:p>
            <w:pPr>
              <w:spacing w:after="0"/>
              <w:rPr>
                <w:sz w:val="24"/>
                <w:szCs w:val="24"/>
                <w:color w:val="auto"/>
              </w:rPr>
            </w:pPr>
          </w:p>
        </w:tc>
        <w:tc>
          <w:tcPr>
            <w:tcW w:w="260" w:type="dxa"/>
            <w:vAlign w:val="bottom"/>
            <w:tcBorders>
              <w:bottom w:val="single" w:sz="8" w:color="E1E1E1"/>
            </w:tcBorders>
          </w:tcPr>
          <w:p>
            <w:pPr>
              <w:spacing w:after="0"/>
              <w:rPr>
                <w:sz w:val="24"/>
                <w:szCs w:val="24"/>
                <w:color w:val="auto"/>
              </w:rPr>
            </w:pPr>
          </w:p>
        </w:tc>
        <w:tc>
          <w:tcPr>
            <w:tcW w:w="260" w:type="dxa"/>
            <w:vAlign w:val="bottom"/>
            <w:tcBorders>
              <w:top w:val="single" w:sz="8" w:color="1E1E1E"/>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(1.78)</w:t>
            </w:r>
          </w:p>
        </w:tc>
        <w:tc>
          <w:tcPr>
            <w:tcW w:w="180" w:type="dxa"/>
            <w:vAlign w:val="bottom"/>
            <w:tcBorders>
              <w:bottom w:val="single" w:sz="8" w:color="E1E1E1"/>
            </w:tcBorders>
          </w:tcPr>
          <w:p>
            <w:pPr>
              <w:spacing w:after="0"/>
              <w:rPr>
                <w:sz w:val="24"/>
                <w:szCs w:val="24"/>
                <w:color w:val="auto"/>
              </w:rPr>
            </w:pPr>
          </w:p>
        </w:tc>
        <w:tc>
          <w:tcPr>
            <w:tcW w:w="140" w:type="dxa"/>
            <w:vAlign w:val="bottom"/>
            <w:tcBorders>
              <w:bottom w:val="single" w:sz="8" w:color="E1E1E1"/>
            </w:tcBorders>
          </w:tcPr>
          <w:p>
            <w:pPr>
              <w:spacing w:after="0"/>
              <w:rPr>
                <w:sz w:val="24"/>
                <w:szCs w:val="24"/>
                <w:color w:val="auto"/>
              </w:rPr>
            </w:pPr>
          </w:p>
        </w:tc>
        <w:tc>
          <w:tcPr>
            <w:tcW w:w="300" w:type="dxa"/>
            <w:vAlign w:val="bottom"/>
            <w:tcBorders>
              <w:top w:val="single" w:sz="8" w:color="1E1E1E"/>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(7.44)</w:t>
            </w:r>
          </w:p>
        </w:tc>
        <w:tc>
          <w:tcPr>
            <w:tcW w:w="80" w:type="dxa"/>
            <w:vAlign w:val="bottom"/>
            <w:tcBorders>
              <w:bottom w:val="single" w:sz="8" w:color="E1E1E1"/>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920" w:type="dxa"/>
            <w:vAlign w:val="bottom"/>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920" w:type="dxa"/>
            <w:vAlign w:val="bottom"/>
            <w:shd w:val="clear" w:color="auto" w:fill="E1E1E1"/>
          </w:tcPr>
          <w:p>
            <w:pPr>
              <w:spacing w:after="0"/>
              <w:rPr>
                <w:sz w:val="19"/>
                <w:szCs w:val="19"/>
                <w:color w:val="auto"/>
              </w:rPr>
            </w:pPr>
          </w:p>
        </w:tc>
        <w:tc>
          <w:tcPr>
            <w:tcW w:w="180" w:type="dxa"/>
            <w:vAlign w:val="bottom"/>
            <w:shd w:val="clear" w:color="auto" w:fill="E1E1E1"/>
          </w:tcPr>
          <w:p>
            <w:pPr>
              <w:spacing w:after="0"/>
              <w:rPr>
                <w:sz w:val="19"/>
                <w:szCs w:val="19"/>
                <w:color w:val="auto"/>
              </w:rPr>
            </w:pPr>
          </w:p>
        </w:tc>
        <w:tc>
          <w:tcPr>
            <w:tcW w:w="140" w:type="dxa"/>
            <w:vAlign w:val="bottom"/>
            <w:shd w:val="clear" w:color="auto" w:fill="E1E1E1"/>
          </w:tcPr>
          <w:p>
            <w:pPr>
              <w:spacing w:after="0"/>
              <w:rPr>
                <w:sz w:val="19"/>
                <w:szCs w:val="19"/>
                <w:color w:val="auto"/>
              </w:rPr>
            </w:pPr>
          </w:p>
        </w:tc>
        <w:tc>
          <w:tcPr>
            <w:tcW w:w="300" w:type="dxa"/>
            <w:vAlign w:val="bottom"/>
            <w:shd w:val="clear" w:color="auto" w:fill="E1E1E1"/>
          </w:tcPr>
          <w:p>
            <w:pPr>
              <w:spacing w:after="0"/>
              <w:rPr>
                <w:sz w:val="19"/>
                <w:szCs w:val="19"/>
                <w:color w:val="auto"/>
              </w:rPr>
            </w:pPr>
          </w:p>
        </w:tc>
        <w:tc>
          <w:tcPr>
            <w:tcW w:w="102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1E1E1E"/>
              </w:rPr>
              <w:t>Weighted average shares outstanding:</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Basic</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219.5</w:t>
            </w:r>
          </w:p>
        </w:tc>
        <w:tc>
          <w:tcPr>
            <w:tcW w:w="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214.4</w:t>
            </w:r>
          </w:p>
        </w:tc>
        <w:tc>
          <w:tcPr>
            <w:tcW w:w="1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0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210.9</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1E1E1E"/>
              </w:rPr>
              <w:t>Diluted</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230.0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214.4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210.9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5016500</wp:posOffset>
            </wp:positionH>
            <wp:positionV relativeFrom="paragraph">
              <wp:posOffset>-4031615</wp:posOffset>
            </wp:positionV>
            <wp:extent cx="1786890" cy="164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extLst>
                    </a:blip>
                    <a:srcRect/>
                    <a:stretch>
                      <a:fillRect/>
                    </a:stretch>
                  </pic:blipFill>
                  <pic:spPr bwMode="auto">
                    <a:xfrm>
                      <a:off x="0" y="0"/>
                      <a:ext cx="1786890" cy="164465"/>
                    </a:xfrm>
                    <a:prstGeom prst="rect">
                      <a:avLst/>
                    </a:prstGeom>
                    <a:noFill/>
                  </pic:spPr>
                </pic:pic>
              </a:graphicData>
            </a:graphic>
          </wp:anchor>
        </w:drawing>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ectPr>
          <w:pgSz w:w="11880" w:h="15480" w:orient="portrait"/>
          <w:cols w:equalWidth="0" w:num="1">
            <w:col w:w="10800"/>
          </w:cols>
          <w:pgMar w:left="540" w:top="12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59</w:t>
      </w:r>
    </w:p>
    <w:p>
      <w:pPr>
        <w:sectPr>
          <w:pgSz w:w="11880" w:h="15480" w:orient="portrait"/>
          <w:cols w:equalWidth="0" w:num="1">
            <w:col w:w="10800"/>
          </w:cols>
          <w:pgMar w:left="540" w:top="1249" w:right="540" w:bottom="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Comprehensive Income (Loss)</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0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960" w:type="dxa"/>
            <w:vAlign w:val="bottom"/>
            <w:tcBorders>
              <w:bottom w:val="single" w:sz="8" w:color="1E1E1E"/>
            </w:tcBorders>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26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0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1E1E1"/>
            </w:tcBorders>
          </w:tcPr>
          <w:p>
            <w:pPr>
              <w:spacing w:after="0"/>
              <w:rPr>
                <w:sz w:val="16"/>
                <w:szCs w:val="16"/>
                <w:color w:val="auto"/>
              </w:rPr>
            </w:pPr>
          </w:p>
        </w:tc>
        <w:tc>
          <w:tcPr>
            <w:tcW w:w="220" w:type="dxa"/>
            <w:vAlign w:val="bottom"/>
            <w:tcBorders>
              <w:bottom w:val="single" w:sz="8" w:color="E1E1E1"/>
            </w:tcBorders>
          </w:tcPr>
          <w:p>
            <w:pPr>
              <w:spacing w:after="0"/>
              <w:rPr>
                <w:sz w:val="16"/>
                <w:szCs w:val="16"/>
                <w:color w:val="auto"/>
              </w:rPr>
            </w:pPr>
          </w:p>
        </w:tc>
        <w:tc>
          <w:tcPr>
            <w:tcW w:w="320" w:type="dxa"/>
            <w:vAlign w:val="bottom"/>
            <w:tcBorders>
              <w:bottom w:val="single" w:sz="8" w:color="1E1E1E"/>
            </w:tcBorders>
          </w:tcPr>
          <w:p>
            <w:pPr>
              <w:spacing w:after="0"/>
              <w:rPr>
                <w:sz w:val="16"/>
                <w:szCs w:val="16"/>
                <w:color w:val="auto"/>
              </w:rPr>
            </w:pPr>
          </w:p>
        </w:tc>
        <w:tc>
          <w:tcPr>
            <w:tcW w:w="1100" w:type="dxa"/>
            <w:vAlign w:val="bottom"/>
            <w:tcBorders>
              <w:bottom w:val="single" w:sz="8" w:color="1E1E1E"/>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2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Comprehensive income (loss):</w:t>
            </w:r>
          </w:p>
        </w:tc>
        <w:tc>
          <w:tcPr>
            <w:tcW w:w="260" w:type="dxa"/>
            <w:vAlign w:val="bottom"/>
            <w:shd w:val="clear" w:color="auto" w:fill="E1E1E1"/>
          </w:tcPr>
          <w:p>
            <w:pPr>
              <w:spacing w:after="0"/>
              <w:rPr>
                <w:sz w:val="20"/>
                <w:szCs w:val="20"/>
                <w:color w:val="auto"/>
              </w:rPr>
            </w:pPr>
          </w:p>
        </w:tc>
        <w:tc>
          <w:tcPr>
            <w:tcW w:w="92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320" w:type="dxa"/>
            <w:vAlign w:val="bottom"/>
            <w:shd w:val="clear" w:color="auto" w:fill="E1E1E1"/>
          </w:tcPr>
          <w:p>
            <w:pPr>
              <w:spacing w:after="0"/>
              <w:rPr>
                <w:sz w:val="20"/>
                <w:szCs w:val="20"/>
                <w:color w:val="auto"/>
              </w:rPr>
            </w:pPr>
          </w:p>
        </w:tc>
        <w:tc>
          <w:tcPr>
            <w:tcW w:w="1100" w:type="dxa"/>
            <w:vAlign w:val="bottom"/>
            <w:shd w:val="clear" w:color="auto" w:fill="E1E1E1"/>
          </w:tcPr>
          <w:p>
            <w:pPr>
              <w:spacing w:after="0"/>
              <w:rPr>
                <w:sz w:val="20"/>
                <w:szCs w:val="20"/>
                <w:color w:val="auto"/>
              </w:rPr>
            </w:pPr>
          </w:p>
        </w:tc>
        <w:tc>
          <w:tcPr>
            <w:tcW w:w="32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92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Net income (loss)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2,283.7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(315.5)</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(1,506.8)</w:t>
            </w:r>
          </w:p>
        </w:tc>
        <w:tc>
          <w:tcPr>
            <w:tcW w:w="0" w:type="dxa"/>
            <w:vAlign w:val="bottom"/>
          </w:tcPr>
          <w:p>
            <w:pPr>
              <w:spacing w:after="0"/>
              <w:rPr>
                <w:sz w:val="1"/>
                <w:szCs w:val="1"/>
                <w:color w:val="auto"/>
              </w:rPr>
            </w:pPr>
          </w:p>
        </w:tc>
      </w:tr>
      <w:tr>
        <w:trPr>
          <w:trHeight w:val="244"/>
        </w:trPr>
        <w:tc>
          <w:tcPr>
            <w:tcW w:w="63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Other comprehensive income (loss), net of tax:</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110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Foreign currency translation gain (loss)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(76.4)</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0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Defined benefit plans:</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110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0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Change in unrecognized loss</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(0.5)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(0.4)</w:t>
            </w: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(0.5)</w:t>
            </w:r>
          </w:p>
        </w:tc>
        <w:tc>
          <w:tcPr>
            <w:tcW w:w="0" w:type="dxa"/>
            <w:vAlign w:val="bottom"/>
          </w:tcPr>
          <w:p>
            <w:pPr>
              <w:spacing w:after="0"/>
              <w:rPr>
                <w:sz w:val="1"/>
                <w:szCs w:val="1"/>
                <w:color w:val="auto"/>
              </w:rPr>
            </w:pPr>
          </w:p>
        </w:tc>
      </w:tr>
      <w:tr>
        <w:trPr>
          <w:trHeight w:val="244"/>
        </w:trPr>
        <w:tc>
          <w:tcPr>
            <w:tcW w:w="6300" w:type="dxa"/>
            <w:vAlign w:val="bottom"/>
            <w:shd w:val="clear" w:color="auto" w:fill="E1E1E1"/>
          </w:tcPr>
          <w:p>
            <w:pPr>
              <w:ind w:left="300"/>
              <w:spacing w:after="0"/>
              <w:rPr>
                <w:sz w:val="20"/>
                <w:szCs w:val="20"/>
                <w:color w:val="auto"/>
              </w:rPr>
            </w:pPr>
            <w:r>
              <w:rPr>
                <w:rFonts w:ascii="Times New Roman" w:cs="Times New Roman" w:eastAsia="Times New Roman" w:hAnsi="Times New Roman"/>
                <w:sz w:val="20"/>
                <w:szCs w:val="20"/>
                <w:color w:val="1E1E1E"/>
              </w:rPr>
              <w:t>Change in unrecognized net prior service credit</w:t>
            </w:r>
          </w:p>
        </w:tc>
        <w:tc>
          <w:tcPr>
            <w:tcW w:w="260" w:type="dxa"/>
            <w:vAlign w:val="bottom"/>
            <w:shd w:val="clear" w:color="auto" w:fill="E1E1E1"/>
          </w:tcPr>
          <w:p>
            <w:pPr>
              <w:spacing w:after="0"/>
              <w:rPr>
                <w:sz w:val="21"/>
                <w:szCs w:val="21"/>
                <w:color w:val="auto"/>
              </w:rPr>
            </w:pPr>
          </w:p>
        </w:tc>
        <w:tc>
          <w:tcPr>
            <w:tcW w:w="102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(2.7)</w:t>
            </w:r>
          </w:p>
        </w:tc>
        <w:tc>
          <w:tcPr>
            <w:tcW w:w="22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1420" w:type="dxa"/>
            <w:vAlign w:val="bottom"/>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(0.2)</w:t>
            </w: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Gain (loss) on hedging instruments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(0.8)</w:t>
            </w: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(8.2)</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Total other comprehensive income (loss), net of tax</w:t>
            </w: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100" w:type="dxa"/>
            <w:vAlign w:val="bottom"/>
            <w:shd w:val="clear" w:color="auto" w:fill="E1E1E1"/>
          </w:tcPr>
          <w:p>
            <w:pPr>
              <w:spacing w:after="0" w:line="20" w:lineRule="exact"/>
              <w:rPr>
                <w:sz w:val="1"/>
                <w:szCs w:val="1"/>
                <w:color w:val="auto"/>
              </w:rPr>
            </w:pPr>
          </w:p>
        </w:tc>
        <w:tc>
          <w:tcPr>
            <w:tcW w:w="220" w:type="dxa"/>
            <w:vAlign w:val="bottom"/>
            <w:shd w:val="clear" w:color="auto" w:fill="E1E1E1"/>
          </w:tcPr>
          <w:p>
            <w:pPr>
              <w:spacing w:after="0" w:line="20" w:lineRule="exact"/>
              <w:rPr>
                <w:sz w:val="1"/>
                <w:szCs w:val="1"/>
                <w:color w:val="auto"/>
              </w:rPr>
            </w:pPr>
          </w:p>
        </w:tc>
        <w:tc>
          <w:tcPr>
            <w:tcW w:w="32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80" w:type="dxa"/>
            <w:vAlign w:val="bottom"/>
            <w:shd w:val="clear" w:color="auto" w:fill="E1E1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300" w:type="dxa"/>
            <w:vAlign w:val="bottom"/>
            <w:vMerge w:val="continue"/>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225.8</w:t>
            </w:r>
          </w:p>
        </w:tc>
        <w:tc>
          <w:tcPr>
            <w:tcW w:w="100" w:type="dxa"/>
            <w:vAlign w:val="bottom"/>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(77.8)</w:t>
            </w:r>
          </w:p>
        </w:tc>
        <w:tc>
          <w:tcPr>
            <w:tcW w:w="26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29.6</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Total comprehensive income (loss)</w:t>
            </w: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300" w:type="dxa"/>
            <w:vAlign w:val="bottom"/>
            <w:vMerge w:val="continue"/>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2,509.5</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(393.3)</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(1,477.2)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-356870</wp:posOffset>
            </wp:positionV>
            <wp:extent cx="1102995" cy="164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1102995" cy="164465"/>
                    </a:xfrm>
                    <a:prstGeom prst="rect">
                      <a:avLst/>
                    </a:prstGeom>
                    <a:noFill/>
                  </pic:spPr>
                </pic:pic>
              </a:graphicData>
            </a:graphic>
          </wp:anchor>
        </w:drawing>
      </w: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60</w:t>
      </w:r>
    </w:p>
    <w:p>
      <w:pPr>
        <w:sectPr>
          <w:pgSz w:w="11880" w:h="15480" w:orient="portrait"/>
          <w:cols w:equalWidth="0" w:num="1">
            <w:col w:w="10800"/>
          </w:cols>
          <w:pgMar w:left="540" w:top="1235" w:right="540" w:bottom="0" w:gutter="0" w:footer="0" w:header="0"/>
          <w:type w:val="continuous"/>
        </w:sectPr>
      </w:pPr>
    </w:p>
    <w:bookmarkStart w:id="70" w:name="page71"/>
    <w:bookmarkEnd w:id="70"/>
    <w:p>
      <w:pPr>
        <w:spacing w:after="0" w:line="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Consolidated Balance Sheets</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(In millions, except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Borders>
              <w:bottom w:val="single" w:sz="8" w:color="1E1E1E"/>
            </w:tcBorders>
          </w:tcPr>
          <w:p>
            <w:pPr>
              <w:spacing w:after="0"/>
              <w:rPr>
                <w:sz w:val="19"/>
                <w:szCs w:val="19"/>
                <w:color w:val="auto"/>
              </w:rPr>
            </w:pPr>
          </w:p>
        </w:tc>
        <w:tc>
          <w:tcPr>
            <w:tcW w:w="1560" w:type="dxa"/>
            <w:vAlign w:val="bottom"/>
            <w:tcBorders>
              <w:bottom w:val="single" w:sz="8" w:color="1E1E1E"/>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340" w:type="dxa"/>
            <w:vAlign w:val="bottom"/>
            <w:tcBorders>
              <w:bottom w:val="single" w:sz="8" w:color="1E1E1E"/>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E1E1E1"/>
            </w:tcBorders>
          </w:tcPr>
          <w:p>
            <w:pPr>
              <w:spacing w:after="0"/>
              <w:rPr>
                <w:sz w:val="17"/>
                <w:szCs w:val="17"/>
                <w:color w:val="auto"/>
              </w:rPr>
            </w:pPr>
          </w:p>
        </w:tc>
        <w:tc>
          <w:tcPr>
            <w:tcW w:w="440" w:type="dxa"/>
            <w:vAlign w:val="bottom"/>
            <w:tcBorders>
              <w:bottom w:val="single" w:sz="8" w:color="E1E1E1"/>
            </w:tcBorders>
          </w:tcPr>
          <w:p>
            <w:pPr>
              <w:spacing w:after="0"/>
              <w:rPr>
                <w:sz w:val="17"/>
                <w:szCs w:val="17"/>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740" w:type="dxa"/>
            <w:vAlign w:val="bottom"/>
            <w:tcBorders>
              <w:bottom w:val="single" w:sz="8" w:color="1E1E1E"/>
            </w:tcBorders>
          </w:tcPr>
          <w:p>
            <w:pPr>
              <w:spacing w:after="0"/>
              <w:rPr>
                <w:sz w:val="17"/>
                <w:szCs w:val="17"/>
                <w:color w:val="auto"/>
              </w:rPr>
            </w:pPr>
          </w:p>
        </w:tc>
        <w:tc>
          <w:tcPr>
            <w:tcW w:w="280" w:type="dxa"/>
            <w:vAlign w:val="bottom"/>
            <w:tcBorders>
              <w:bottom w:val="single" w:sz="8" w:color="E1E1E1"/>
            </w:tcBorders>
          </w:tcPr>
          <w:p>
            <w:pPr>
              <w:spacing w:after="0"/>
              <w:rPr>
                <w:sz w:val="17"/>
                <w:szCs w:val="17"/>
                <w:color w:val="auto"/>
              </w:rPr>
            </w:pPr>
          </w:p>
        </w:tc>
        <w:tc>
          <w:tcPr>
            <w:tcW w:w="540" w:type="dxa"/>
            <w:vAlign w:val="bottom"/>
            <w:tcBorders>
              <w:bottom w:val="single" w:sz="8" w:color="1E1E1E"/>
            </w:tcBorders>
          </w:tcPr>
          <w:p>
            <w:pPr>
              <w:spacing w:after="0"/>
              <w:rPr>
                <w:sz w:val="17"/>
                <w:szCs w:val="17"/>
                <w:color w:val="auto"/>
              </w:rPr>
            </w:pPr>
          </w:p>
        </w:tc>
        <w:tc>
          <w:tcPr>
            <w:tcW w:w="1340" w:type="dxa"/>
            <w:vAlign w:val="bottom"/>
            <w:tcBorders>
              <w:bottom w:val="single" w:sz="8" w:color="1E1E1E"/>
            </w:tcBorders>
          </w:tcPr>
          <w:p>
            <w:pPr>
              <w:jc w:val="right"/>
              <w:ind w:right="68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bottom w:val="single" w:sz="8" w:color="E1E1E1"/>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240" w:type="dxa"/>
            <w:vAlign w:val="bottom"/>
            <w:shd w:val="clear" w:color="auto" w:fill="E1E1E1"/>
          </w:tcPr>
          <w:p>
            <w:pPr>
              <w:ind w:left="2980"/>
              <w:spacing w:after="0"/>
              <w:rPr>
                <w:sz w:val="20"/>
                <w:szCs w:val="20"/>
                <w:color w:val="auto"/>
              </w:rPr>
            </w:pPr>
            <w:r>
              <w:rPr>
                <w:rFonts w:ascii="Times New Roman" w:cs="Times New Roman" w:eastAsia="Times New Roman" w:hAnsi="Times New Roman"/>
                <w:sz w:val="20"/>
                <w:szCs w:val="20"/>
                <w:b w:val="1"/>
                <w:bCs w:val="1"/>
                <w:color w:val="1E1E1E"/>
              </w:rPr>
              <w:t>Assets</w:t>
            </w:r>
          </w:p>
        </w:tc>
        <w:tc>
          <w:tcPr>
            <w:tcW w:w="440" w:type="dxa"/>
            <w:vAlign w:val="bottom"/>
            <w:shd w:val="clear" w:color="auto" w:fill="E1E1E1"/>
          </w:tcPr>
          <w:p>
            <w:pPr>
              <w:spacing w:after="0"/>
              <w:rPr>
                <w:sz w:val="20"/>
                <w:szCs w:val="20"/>
                <w:color w:val="auto"/>
              </w:rPr>
            </w:pPr>
          </w:p>
        </w:tc>
        <w:tc>
          <w:tcPr>
            <w:tcW w:w="1140" w:type="dxa"/>
            <w:vAlign w:val="bottom"/>
            <w:shd w:val="clear" w:color="auto" w:fill="E1E1E1"/>
          </w:tcPr>
          <w:p>
            <w:pPr>
              <w:spacing w:after="0"/>
              <w:rPr>
                <w:sz w:val="20"/>
                <w:szCs w:val="20"/>
                <w:color w:val="auto"/>
              </w:rPr>
            </w:pPr>
          </w:p>
        </w:tc>
        <w:tc>
          <w:tcPr>
            <w:tcW w:w="74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34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440" w:type="dxa"/>
            <w:vAlign w:val="bottom"/>
          </w:tcPr>
          <w:p>
            <w:pPr>
              <w:spacing w:after="0"/>
              <w:rPr>
                <w:sz w:val="21"/>
                <w:szCs w:val="21"/>
                <w:color w:val="auto"/>
              </w:rPr>
            </w:pPr>
          </w:p>
        </w:tc>
        <w:tc>
          <w:tcPr>
            <w:tcW w:w="1140" w:type="dxa"/>
            <w:vAlign w:val="bottom"/>
          </w:tcPr>
          <w:p>
            <w:pPr>
              <w:jc w:val="right"/>
              <w:ind w:right="944"/>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754.4</w:t>
            </w:r>
          </w:p>
        </w:tc>
        <w:tc>
          <w:tcPr>
            <w:tcW w:w="280" w:type="dxa"/>
            <w:vAlign w:val="bottom"/>
          </w:tcPr>
          <w:p>
            <w:pPr>
              <w:spacing w:after="0"/>
              <w:rPr>
                <w:sz w:val="21"/>
                <w:szCs w:val="21"/>
                <w:color w:val="auto"/>
              </w:rPr>
            </w:pPr>
          </w:p>
        </w:tc>
        <w:tc>
          <w:tcPr>
            <w:tcW w:w="5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E1E1E1"/>
          </w:tcPr>
          <w:p>
            <w:pPr>
              <w:spacing w:after="0" w:line="223" w:lineRule="exact"/>
              <w:rPr>
                <w:sz w:val="20"/>
                <w:szCs w:val="20"/>
                <w:color w:val="auto"/>
              </w:rPr>
            </w:pPr>
            <w:r>
              <w:rPr>
                <w:rFonts w:ascii="Times New Roman" w:cs="Times New Roman" w:eastAsia="Times New Roman" w:hAnsi="Times New Roman"/>
                <w:sz w:val="20"/>
                <w:szCs w:val="20"/>
                <w:color w:val="1E1E1E"/>
              </w:rPr>
              <w:t>Accounts receivable, net of allowance for doubtful accounts</w:t>
            </w:r>
          </w:p>
        </w:tc>
        <w:tc>
          <w:tcPr>
            <w:tcW w:w="440" w:type="dxa"/>
            <w:vAlign w:val="bottom"/>
            <w:shd w:val="clear" w:color="auto" w:fill="E1E1E1"/>
          </w:tcPr>
          <w:p>
            <w:pPr>
              <w:spacing w:after="0"/>
              <w:rPr>
                <w:sz w:val="19"/>
                <w:szCs w:val="19"/>
                <w:color w:val="auto"/>
              </w:rPr>
            </w:pPr>
          </w:p>
        </w:tc>
        <w:tc>
          <w:tcPr>
            <w:tcW w:w="1140" w:type="dxa"/>
            <w:vAlign w:val="bottom"/>
            <w:shd w:val="clear" w:color="auto" w:fill="E1E1E1"/>
          </w:tcPr>
          <w:p>
            <w:pPr>
              <w:spacing w:after="0"/>
              <w:rPr>
                <w:sz w:val="19"/>
                <w:szCs w:val="19"/>
                <w:color w:val="auto"/>
              </w:rPr>
            </w:pPr>
          </w:p>
        </w:tc>
        <w:tc>
          <w:tcPr>
            <w:tcW w:w="740" w:type="dxa"/>
            <w:vAlign w:val="bottom"/>
            <w:shd w:val="clear" w:color="auto" w:fill="E1E1E1"/>
          </w:tcPr>
          <w:p>
            <w:pPr>
              <w:spacing w:after="0"/>
              <w:rPr>
                <w:sz w:val="19"/>
                <w:szCs w:val="19"/>
                <w:color w:val="auto"/>
              </w:rPr>
            </w:pPr>
          </w:p>
        </w:tc>
        <w:tc>
          <w:tcPr>
            <w:tcW w:w="280" w:type="dxa"/>
            <w:vAlign w:val="bottom"/>
            <w:shd w:val="clear" w:color="auto" w:fill="E1E1E1"/>
          </w:tcPr>
          <w:p>
            <w:pPr>
              <w:spacing w:after="0"/>
              <w:rPr>
                <w:sz w:val="19"/>
                <w:szCs w:val="19"/>
                <w:color w:val="auto"/>
              </w:rPr>
            </w:pPr>
          </w:p>
        </w:tc>
        <w:tc>
          <w:tcPr>
            <w:tcW w:w="540" w:type="dxa"/>
            <w:vAlign w:val="bottom"/>
            <w:shd w:val="clear" w:color="auto" w:fill="E1E1E1"/>
          </w:tcPr>
          <w:p>
            <w:pPr>
              <w:spacing w:after="0"/>
              <w:rPr>
                <w:sz w:val="19"/>
                <w:szCs w:val="19"/>
                <w:color w:val="auto"/>
              </w:rPr>
            </w:pPr>
          </w:p>
        </w:tc>
        <w:tc>
          <w:tcPr>
            <w:tcW w:w="13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240" w:type="dxa"/>
            <w:vAlign w:val="bottom"/>
            <w:shd w:val="clear" w:color="auto" w:fill="E1E1E1"/>
          </w:tcPr>
          <w:p>
            <w:pPr>
              <w:ind w:left="160"/>
              <w:spacing w:after="0"/>
              <w:rPr>
                <w:sz w:val="20"/>
                <w:szCs w:val="20"/>
                <w:color w:val="auto"/>
              </w:rPr>
            </w:pPr>
            <w:r>
              <w:rPr>
                <w:rFonts w:ascii="Times New Roman" w:cs="Times New Roman" w:eastAsia="Times New Roman" w:hAnsi="Times New Roman"/>
                <w:sz w:val="20"/>
                <w:szCs w:val="20"/>
                <w:color w:val="1E1E1E"/>
              </w:rPr>
              <w:t>of $1.6 and $1.6, respectively</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350.4</w:t>
            </w:r>
          </w:p>
        </w:tc>
        <w:tc>
          <w:tcPr>
            <w:tcW w:w="2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252.2</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1E1E1E"/>
              </w:rPr>
              <w:t>Inventories, net</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310.4</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56.5</w:t>
            </w:r>
          </w:p>
        </w:tc>
        <w:tc>
          <w:tcPr>
            <w:tcW w:w="2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89.4</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Current assets held for sale</w:t>
            </w:r>
          </w:p>
        </w:tc>
        <w:tc>
          <w:tcPr>
            <w:tcW w:w="440" w:type="dxa"/>
            <w:vAlign w:val="bottom"/>
            <w:tcBorders>
              <w:bottom w:val="single" w:sz="8" w:color="E1E1E1"/>
            </w:tcBorders>
          </w:tcPr>
          <w:p>
            <w:pPr>
              <w:spacing w:after="0"/>
              <w:rPr>
                <w:sz w:val="21"/>
                <w:szCs w:val="21"/>
                <w:color w:val="auto"/>
              </w:rPr>
            </w:pPr>
          </w:p>
        </w:tc>
        <w:tc>
          <w:tcPr>
            <w:tcW w:w="1140" w:type="dxa"/>
            <w:vAlign w:val="bottom"/>
            <w:tcBorders>
              <w:bottom w:val="single" w:sz="8" w:color="1E1E1E"/>
            </w:tcBorders>
          </w:tcPr>
          <w:p>
            <w:pPr>
              <w:spacing w:after="0"/>
              <w:rPr>
                <w:sz w:val="21"/>
                <w:szCs w:val="21"/>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4,324.5</w:t>
            </w:r>
          </w:p>
        </w:tc>
        <w:tc>
          <w:tcPr>
            <w:tcW w:w="280" w:type="dxa"/>
            <w:vAlign w:val="bottom"/>
            <w:tcBorders>
              <w:bottom w:val="single" w:sz="8" w:color="E1E1E1"/>
            </w:tcBorders>
          </w:tcPr>
          <w:p>
            <w:pPr>
              <w:spacing w:after="0"/>
              <w:rPr>
                <w:sz w:val="21"/>
                <w:szCs w:val="21"/>
                <w:color w:val="auto"/>
              </w:rPr>
            </w:pPr>
          </w:p>
        </w:tc>
        <w:tc>
          <w:tcPr>
            <w:tcW w:w="540" w:type="dxa"/>
            <w:vAlign w:val="bottom"/>
            <w:tcBorders>
              <w:bottom w:val="single" w:sz="8" w:color="1E1E1E"/>
            </w:tcBorders>
          </w:tcPr>
          <w:p>
            <w:pPr>
              <w:spacing w:after="0"/>
              <w:rPr>
                <w:sz w:val="21"/>
                <w:szCs w:val="21"/>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2,335.8</w:t>
            </w:r>
          </w:p>
        </w:tc>
        <w:tc>
          <w:tcPr>
            <w:tcW w:w="8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Total current assets</w:t>
            </w:r>
          </w:p>
        </w:tc>
        <w:tc>
          <w:tcPr>
            <w:tcW w:w="440" w:type="dxa"/>
            <w:vAlign w:val="bottom"/>
            <w:shd w:val="clear" w:color="auto" w:fill="E1E1E1"/>
          </w:tcPr>
          <w:p>
            <w:pPr>
              <w:spacing w:after="0"/>
              <w:rPr>
                <w:sz w:val="20"/>
                <w:szCs w:val="20"/>
                <w:color w:val="auto"/>
              </w:rPr>
            </w:pPr>
          </w:p>
        </w:tc>
        <w:tc>
          <w:tcPr>
            <w:tcW w:w="1140" w:type="dxa"/>
            <w:vAlign w:val="bottom"/>
            <w:shd w:val="clear" w:color="auto" w:fill="E1E1E1"/>
          </w:tcPr>
          <w:p>
            <w:pPr>
              <w:spacing w:after="0"/>
              <w:rPr>
                <w:sz w:val="20"/>
                <w:szCs w:val="20"/>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5,796.2</w:t>
            </w:r>
          </w:p>
        </w:tc>
        <w:tc>
          <w:tcPr>
            <w:tcW w:w="2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3,484.5</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1E1E1E"/>
              </w:rPr>
              <w:t>Property, plant and equipment, net of accumulated depreciation</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2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of $174.5 and $255.8, respectively</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58.6</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Goodwill</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764.6</w:t>
            </w:r>
          </w:p>
        </w:tc>
        <w:tc>
          <w:tcPr>
            <w:tcW w:w="2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759.6</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1E1E1E"/>
              </w:rPr>
              <w:t>Other intangible assets, net</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839.1</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Deferred income taxes</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1,765.9</w:t>
            </w:r>
          </w:p>
        </w:tc>
        <w:tc>
          <w:tcPr>
            <w:tcW w:w="2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431.5</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1E1E1E"/>
              </w:rPr>
              <w:t>Other noncurrent assets</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146.6</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Noncurrent assets held for sale</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10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2,860.3</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240" w:type="dxa"/>
            <w:vAlign w:val="bottom"/>
            <w:tcBorders>
              <w:bottom w:val="single" w:sz="8" w:color="E1E1E1"/>
            </w:tcBorders>
          </w:tcPr>
          <w:p>
            <w:pPr>
              <w:ind w:left="200"/>
              <w:spacing w:after="0"/>
              <w:rPr>
                <w:sz w:val="20"/>
                <w:szCs w:val="20"/>
                <w:color w:val="auto"/>
              </w:rPr>
            </w:pPr>
            <w:r>
              <w:rPr>
                <w:rFonts w:ascii="Times New Roman" w:cs="Times New Roman" w:eastAsia="Times New Roman" w:hAnsi="Times New Roman"/>
                <w:sz w:val="20"/>
                <w:szCs w:val="20"/>
                <w:color w:val="1E1E1E"/>
              </w:rPr>
              <w:t>Total assets</w:t>
            </w:r>
          </w:p>
        </w:tc>
        <w:tc>
          <w:tcPr>
            <w:tcW w:w="440" w:type="dxa"/>
            <w:vAlign w:val="bottom"/>
            <w:tcBorders>
              <w:bottom w:val="single" w:sz="8" w:color="E1E1E1"/>
            </w:tcBorders>
          </w:tcPr>
          <w:p>
            <w:pPr>
              <w:spacing w:after="0"/>
              <w:rPr>
                <w:sz w:val="24"/>
                <w:szCs w:val="24"/>
                <w:color w:val="auto"/>
              </w:rPr>
            </w:pPr>
          </w:p>
        </w:tc>
        <w:tc>
          <w:tcPr>
            <w:tcW w:w="1140" w:type="dxa"/>
            <w:vAlign w:val="bottom"/>
            <w:tcBorders>
              <w:top w:val="single" w:sz="8" w:color="1E1E1E"/>
              <w:bottom w:val="single" w:sz="8" w:color="1E1E1E"/>
            </w:tcBorders>
          </w:tcPr>
          <w:p>
            <w:pPr>
              <w:jc w:val="right"/>
              <w:ind w:right="944"/>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9,371.0</w:t>
            </w:r>
          </w:p>
        </w:tc>
        <w:tc>
          <w:tcPr>
            <w:tcW w:w="280" w:type="dxa"/>
            <w:vAlign w:val="bottom"/>
            <w:tcBorders>
              <w:bottom w:val="single" w:sz="8" w:color="E1E1E1"/>
            </w:tcBorders>
          </w:tcPr>
          <w:p>
            <w:pPr>
              <w:spacing w:after="0"/>
              <w:rPr>
                <w:sz w:val="24"/>
                <w:szCs w:val="24"/>
                <w:color w:val="auto"/>
              </w:rPr>
            </w:pPr>
          </w:p>
        </w:tc>
        <w:tc>
          <w:tcPr>
            <w:tcW w:w="540" w:type="dxa"/>
            <w:vAlign w:val="bottom"/>
            <w:tcBorders>
              <w:top w:val="single" w:sz="8" w:color="1E1E1E"/>
              <w:bottom w:val="single" w:sz="8" w:color="1E1E1E"/>
            </w:tcBorders>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13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8,747.5</w:t>
            </w:r>
          </w:p>
        </w:tc>
        <w:tc>
          <w:tcPr>
            <w:tcW w:w="80" w:type="dxa"/>
            <w:vAlign w:val="bottom"/>
            <w:tcBorders>
              <w:bottom w:val="single" w:sz="8" w:color="E1E1E1"/>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E1E1E1"/>
          </w:tcPr>
          <w:p>
            <w:pPr>
              <w:ind w:left="1720"/>
              <w:spacing w:after="0"/>
              <w:rPr>
                <w:sz w:val="20"/>
                <w:szCs w:val="20"/>
                <w:color w:val="auto"/>
              </w:rPr>
            </w:pPr>
            <w:r>
              <w:rPr>
                <w:rFonts w:ascii="Times New Roman" w:cs="Times New Roman" w:eastAsia="Times New Roman" w:hAnsi="Times New Roman"/>
                <w:sz w:val="20"/>
                <w:szCs w:val="20"/>
                <w:b w:val="1"/>
                <w:bCs w:val="1"/>
                <w:color w:val="1E1E1E"/>
              </w:rPr>
              <w:t>Liabilities and Stockholders' Deficit</w:t>
            </w:r>
          </w:p>
        </w:tc>
        <w:tc>
          <w:tcPr>
            <w:tcW w:w="440" w:type="dxa"/>
            <w:vAlign w:val="bottom"/>
            <w:shd w:val="clear" w:color="auto" w:fill="E1E1E1"/>
          </w:tcPr>
          <w:p>
            <w:pPr>
              <w:spacing w:after="0"/>
              <w:rPr>
                <w:sz w:val="19"/>
                <w:szCs w:val="19"/>
                <w:color w:val="auto"/>
              </w:rPr>
            </w:pPr>
          </w:p>
        </w:tc>
        <w:tc>
          <w:tcPr>
            <w:tcW w:w="1140" w:type="dxa"/>
            <w:vAlign w:val="bottom"/>
            <w:shd w:val="clear" w:color="auto" w:fill="E1E1E1"/>
          </w:tcPr>
          <w:p>
            <w:pPr>
              <w:spacing w:after="0"/>
              <w:rPr>
                <w:sz w:val="19"/>
                <w:szCs w:val="19"/>
                <w:color w:val="auto"/>
              </w:rPr>
            </w:pPr>
          </w:p>
        </w:tc>
        <w:tc>
          <w:tcPr>
            <w:tcW w:w="740" w:type="dxa"/>
            <w:vAlign w:val="bottom"/>
            <w:shd w:val="clear" w:color="auto" w:fill="E1E1E1"/>
          </w:tcPr>
          <w:p>
            <w:pPr>
              <w:spacing w:after="0"/>
              <w:rPr>
                <w:sz w:val="19"/>
                <w:szCs w:val="19"/>
                <w:color w:val="auto"/>
              </w:rPr>
            </w:pPr>
          </w:p>
        </w:tc>
        <w:tc>
          <w:tcPr>
            <w:tcW w:w="280" w:type="dxa"/>
            <w:vAlign w:val="bottom"/>
            <w:shd w:val="clear" w:color="auto" w:fill="E1E1E1"/>
          </w:tcPr>
          <w:p>
            <w:pPr>
              <w:spacing w:after="0"/>
              <w:rPr>
                <w:sz w:val="19"/>
                <w:szCs w:val="19"/>
                <w:color w:val="auto"/>
              </w:rPr>
            </w:pPr>
          </w:p>
        </w:tc>
        <w:tc>
          <w:tcPr>
            <w:tcW w:w="540" w:type="dxa"/>
            <w:vAlign w:val="bottom"/>
            <w:shd w:val="clear" w:color="auto" w:fill="E1E1E1"/>
          </w:tcPr>
          <w:p>
            <w:pPr>
              <w:spacing w:after="0"/>
              <w:rPr>
                <w:sz w:val="19"/>
                <w:szCs w:val="19"/>
                <w:color w:val="auto"/>
              </w:rPr>
            </w:pPr>
          </w:p>
        </w:tc>
        <w:tc>
          <w:tcPr>
            <w:tcW w:w="13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1E1E1E"/>
              </w:rPr>
              <w:t>Accounts payable</w:t>
            </w:r>
          </w:p>
        </w:tc>
        <w:tc>
          <w:tcPr>
            <w:tcW w:w="440" w:type="dxa"/>
            <w:vAlign w:val="bottom"/>
          </w:tcPr>
          <w:p>
            <w:pPr>
              <w:spacing w:after="0"/>
              <w:rPr>
                <w:sz w:val="21"/>
                <w:szCs w:val="21"/>
                <w:color w:val="auto"/>
              </w:rPr>
            </w:pPr>
          </w:p>
        </w:tc>
        <w:tc>
          <w:tcPr>
            <w:tcW w:w="1140" w:type="dxa"/>
            <w:vAlign w:val="bottom"/>
          </w:tcPr>
          <w:p>
            <w:pPr>
              <w:jc w:val="right"/>
              <w:ind w:right="944"/>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213.3</w:t>
            </w:r>
          </w:p>
        </w:tc>
        <w:tc>
          <w:tcPr>
            <w:tcW w:w="280" w:type="dxa"/>
            <w:vAlign w:val="bottom"/>
          </w:tcPr>
          <w:p>
            <w:pPr>
              <w:spacing w:after="0"/>
              <w:rPr>
                <w:sz w:val="21"/>
                <w:szCs w:val="21"/>
                <w:color w:val="auto"/>
              </w:rPr>
            </w:pPr>
          </w:p>
        </w:tc>
        <w:tc>
          <w:tcPr>
            <w:tcW w:w="5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Accrued and other liabilities</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498.3</w:t>
            </w:r>
          </w:p>
        </w:tc>
        <w:tc>
          <w:tcPr>
            <w:tcW w:w="2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457.0</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Current liabilities held for sale</w:t>
            </w:r>
          </w:p>
        </w:tc>
        <w:tc>
          <w:tcPr>
            <w:tcW w:w="440" w:type="dxa"/>
            <w:vAlign w:val="bottom"/>
            <w:tcBorders>
              <w:bottom w:val="single" w:sz="8" w:color="E1E1E1"/>
            </w:tcBorders>
          </w:tcPr>
          <w:p>
            <w:pPr>
              <w:spacing w:after="0"/>
              <w:rPr>
                <w:sz w:val="21"/>
                <w:szCs w:val="21"/>
                <w:color w:val="auto"/>
              </w:rPr>
            </w:pPr>
          </w:p>
        </w:tc>
        <w:tc>
          <w:tcPr>
            <w:tcW w:w="1140" w:type="dxa"/>
            <w:vAlign w:val="bottom"/>
            <w:tcBorders>
              <w:bottom w:val="single" w:sz="8" w:color="1E1E1E"/>
            </w:tcBorders>
          </w:tcPr>
          <w:p>
            <w:pPr>
              <w:spacing w:after="0"/>
              <w:rPr>
                <w:sz w:val="21"/>
                <w:szCs w:val="21"/>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783.9</w:t>
            </w:r>
          </w:p>
        </w:tc>
        <w:tc>
          <w:tcPr>
            <w:tcW w:w="280" w:type="dxa"/>
            <w:vAlign w:val="bottom"/>
            <w:tcBorders>
              <w:bottom w:val="single" w:sz="8" w:color="E1E1E1"/>
            </w:tcBorders>
          </w:tcPr>
          <w:p>
            <w:pPr>
              <w:spacing w:after="0"/>
              <w:rPr>
                <w:sz w:val="21"/>
                <w:szCs w:val="21"/>
                <w:color w:val="auto"/>
              </w:rPr>
            </w:pPr>
          </w:p>
        </w:tc>
        <w:tc>
          <w:tcPr>
            <w:tcW w:w="540" w:type="dxa"/>
            <w:vAlign w:val="bottom"/>
            <w:tcBorders>
              <w:bottom w:val="single" w:sz="8" w:color="1E1E1E"/>
            </w:tcBorders>
          </w:tcPr>
          <w:p>
            <w:pPr>
              <w:spacing w:after="0"/>
              <w:rPr>
                <w:sz w:val="21"/>
                <w:szCs w:val="21"/>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649.3</w:t>
            </w:r>
          </w:p>
        </w:tc>
        <w:tc>
          <w:tcPr>
            <w:tcW w:w="8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Total current liabilities</w:t>
            </w:r>
          </w:p>
        </w:tc>
        <w:tc>
          <w:tcPr>
            <w:tcW w:w="440" w:type="dxa"/>
            <w:vAlign w:val="bottom"/>
            <w:shd w:val="clear" w:color="auto" w:fill="E1E1E1"/>
          </w:tcPr>
          <w:p>
            <w:pPr>
              <w:spacing w:after="0"/>
              <w:rPr>
                <w:sz w:val="20"/>
                <w:szCs w:val="20"/>
                <w:color w:val="auto"/>
              </w:rPr>
            </w:pPr>
          </w:p>
        </w:tc>
        <w:tc>
          <w:tcPr>
            <w:tcW w:w="1140" w:type="dxa"/>
            <w:vAlign w:val="bottom"/>
            <w:shd w:val="clear" w:color="auto" w:fill="E1E1E1"/>
          </w:tcPr>
          <w:p>
            <w:pPr>
              <w:spacing w:after="0"/>
              <w:rPr>
                <w:sz w:val="20"/>
                <w:szCs w:val="20"/>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1,495.5</w:t>
            </w:r>
          </w:p>
        </w:tc>
        <w:tc>
          <w:tcPr>
            <w:tcW w:w="2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1,229.7</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1E1E1E"/>
              </w:rPr>
              <w:t>Long-term debt</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7,260.2</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9,238.4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Deferred income taxes</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67.2</w:t>
            </w:r>
          </w:p>
        </w:tc>
        <w:tc>
          <w:tcPr>
            <w:tcW w:w="2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90.9</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1E1E1E"/>
              </w:rPr>
              <w:t>Other noncurrent liabilities</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273.5</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Noncurrent liabilities held for sale</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10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96.2</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40" w:type="dxa"/>
            <w:vAlign w:val="bottom"/>
            <w:tcBorders>
              <w:bottom w:val="single" w:sz="8" w:color="E1E1E1"/>
            </w:tcBorders>
          </w:tcPr>
          <w:p>
            <w:pPr>
              <w:ind w:left="200"/>
              <w:spacing w:after="0"/>
              <w:rPr>
                <w:sz w:val="20"/>
                <w:szCs w:val="20"/>
                <w:color w:val="auto"/>
              </w:rPr>
            </w:pPr>
            <w:r>
              <w:rPr>
                <w:rFonts w:ascii="Times New Roman" w:cs="Times New Roman" w:eastAsia="Times New Roman" w:hAnsi="Times New Roman"/>
                <w:sz w:val="20"/>
                <w:szCs w:val="20"/>
                <w:color w:val="1E1E1E"/>
              </w:rPr>
              <w:t>Total liabilities</w:t>
            </w:r>
          </w:p>
        </w:tc>
        <w:tc>
          <w:tcPr>
            <w:tcW w:w="440" w:type="dxa"/>
            <w:vAlign w:val="bottom"/>
            <w:tcBorders>
              <w:bottom w:val="single" w:sz="8" w:color="E1E1E1"/>
            </w:tcBorders>
          </w:tcPr>
          <w:p>
            <w:pPr>
              <w:spacing w:after="0"/>
              <w:rPr>
                <w:sz w:val="20"/>
                <w:szCs w:val="20"/>
                <w:color w:val="auto"/>
              </w:rPr>
            </w:pPr>
          </w:p>
        </w:tc>
        <w:tc>
          <w:tcPr>
            <w:tcW w:w="1140" w:type="dxa"/>
            <w:vAlign w:val="bottom"/>
            <w:tcBorders>
              <w:top w:val="single" w:sz="8" w:color="1E1E1E"/>
              <w:bottom w:val="single" w:sz="8" w:color="1E1E1E"/>
            </w:tcBorders>
          </w:tcPr>
          <w:p>
            <w:pPr>
              <w:spacing w:after="0"/>
              <w:rPr>
                <w:sz w:val="20"/>
                <w:szCs w:val="20"/>
                <w:color w:val="auto"/>
              </w:rPr>
            </w:pPr>
          </w:p>
        </w:tc>
        <w:tc>
          <w:tcPr>
            <w:tcW w:w="7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9,096.4</w:t>
            </w:r>
          </w:p>
        </w:tc>
        <w:tc>
          <w:tcPr>
            <w:tcW w:w="280" w:type="dxa"/>
            <w:vAlign w:val="bottom"/>
            <w:tcBorders>
              <w:bottom w:val="single" w:sz="8" w:color="E1E1E1"/>
            </w:tcBorders>
          </w:tcPr>
          <w:p>
            <w:pPr>
              <w:spacing w:after="0"/>
              <w:rPr>
                <w:sz w:val="20"/>
                <w:szCs w:val="20"/>
                <w:color w:val="auto"/>
              </w:rPr>
            </w:pPr>
          </w:p>
        </w:tc>
        <w:tc>
          <w:tcPr>
            <w:tcW w:w="540" w:type="dxa"/>
            <w:vAlign w:val="bottom"/>
            <w:tcBorders>
              <w:top w:val="single" w:sz="8" w:color="1E1E1E"/>
              <w:bottom w:val="single" w:sz="8" w:color="1E1E1E"/>
            </w:tcBorders>
          </w:tcPr>
          <w:p>
            <w:pPr>
              <w:spacing w:after="0"/>
              <w:rPr>
                <w:sz w:val="20"/>
                <w:szCs w:val="20"/>
                <w:color w:val="auto"/>
              </w:rPr>
            </w:pPr>
          </w:p>
        </w:tc>
        <w:tc>
          <w:tcPr>
            <w:tcW w:w="13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10,976.3</w:t>
            </w:r>
          </w:p>
        </w:tc>
        <w:tc>
          <w:tcPr>
            <w:tcW w:w="80" w:type="dxa"/>
            <w:vAlign w:val="bottom"/>
            <w:tcBorders>
              <w:bottom w:val="single" w:sz="8" w:color="E1E1E1"/>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Commitments and contingencies</w:t>
            </w:r>
          </w:p>
        </w:tc>
        <w:tc>
          <w:tcPr>
            <w:tcW w:w="440" w:type="dxa"/>
            <w:vAlign w:val="bottom"/>
            <w:shd w:val="clear" w:color="auto" w:fill="E1E1E1"/>
          </w:tcPr>
          <w:p>
            <w:pPr>
              <w:spacing w:after="0"/>
              <w:rPr>
                <w:sz w:val="20"/>
                <w:szCs w:val="20"/>
                <w:color w:val="auto"/>
              </w:rPr>
            </w:pPr>
          </w:p>
        </w:tc>
        <w:tc>
          <w:tcPr>
            <w:tcW w:w="1140" w:type="dxa"/>
            <w:vAlign w:val="bottom"/>
            <w:shd w:val="clear" w:color="auto" w:fill="E1E1E1"/>
          </w:tcPr>
          <w:p>
            <w:pPr>
              <w:spacing w:after="0"/>
              <w:rPr>
                <w:sz w:val="20"/>
                <w:szCs w:val="20"/>
                <w:color w:val="auto"/>
              </w:rPr>
            </w:pPr>
          </w:p>
        </w:tc>
        <w:tc>
          <w:tcPr>
            <w:tcW w:w="74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34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1E1E1E"/>
              </w:rPr>
              <w:t>Series A convertible preferred stock, $0.01 par value</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1,278.7</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1,227.3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Stockholders' deficit:</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4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Preferred stock, $0.01 par value: Authorized shares: 200,000,000;</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Issued and outstanding shares: 1,278,653 and 1,227,328, respectively,</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Series A convertible preferred stock</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23"/>
        </w:trPr>
        <w:tc>
          <w:tcPr>
            <w:tcW w:w="6240" w:type="dxa"/>
            <w:vAlign w:val="bottom"/>
            <w:shd w:val="clear" w:color="auto" w:fill="E1E1E1"/>
          </w:tcPr>
          <w:p>
            <w:pPr>
              <w:ind w:left="100"/>
              <w:spacing w:after="0" w:line="223" w:lineRule="exact"/>
              <w:rPr>
                <w:sz w:val="20"/>
                <w:szCs w:val="20"/>
                <w:color w:val="auto"/>
              </w:rPr>
            </w:pPr>
            <w:r>
              <w:rPr>
                <w:rFonts w:ascii="Times New Roman" w:cs="Times New Roman" w:eastAsia="Times New Roman" w:hAnsi="Times New Roman"/>
                <w:sz w:val="20"/>
                <w:szCs w:val="20"/>
                <w:color w:val="1E1E1E"/>
              </w:rPr>
              <w:t>Common stock, $0.01 par value: Authorized shares: 1,300,000,000;</w:t>
            </w:r>
          </w:p>
        </w:tc>
        <w:tc>
          <w:tcPr>
            <w:tcW w:w="440" w:type="dxa"/>
            <w:vAlign w:val="bottom"/>
            <w:shd w:val="clear" w:color="auto" w:fill="E1E1E1"/>
          </w:tcPr>
          <w:p>
            <w:pPr>
              <w:spacing w:after="0"/>
              <w:rPr>
                <w:sz w:val="19"/>
                <w:szCs w:val="19"/>
                <w:color w:val="auto"/>
              </w:rPr>
            </w:pPr>
          </w:p>
        </w:tc>
        <w:tc>
          <w:tcPr>
            <w:tcW w:w="1140" w:type="dxa"/>
            <w:vAlign w:val="bottom"/>
            <w:shd w:val="clear" w:color="auto" w:fill="E1E1E1"/>
          </w:tcPr>
          <w:p>
            <w:pPr>
              <w:spacing w:after="0"/>
              <w:rPr>
                <w:sz w:val="19"/>
                <w:szCs w:val="19"/>
                <w:color w:val="auto"/>
              </w:rPr>
            </w:pPr>
          </w:p>
        </w:tc>
        <w:tc>
          <w:tcPr>
            <w:tcW w:w="740" w:type="dxa"/>
            <w:vAlign w:val="bottom"/>
            <w:shd w:val="clear" w:color="auto" w:fill="E1E1E1"/>
          </w:tcPr>
          <w:p>
            <w:pPr>
              <w:spacing w:after="0"/>
              <w:rPr>
                <w:sz w:val="19"/>
                <w:szCs w:val="19"/>
                <w:color w:val="auto"/>
              </w:rPr>
            </w:pPr>
          </w:p>
        </w:tc>
        <w:tc>
          <w:tcPr>
            <w:tcW w:w="280" w:type="dxa"/>
            <w:vAlign w:val="bottom"/>
            <w:shd w:val="clear" w:color="auto" w:fill="E1E1E1"/>
          </w:tcPr>
          <w:p>
            <w:pPr>
              <w:spacing w:after="0"/>
              <w:rPr>
                <w:sz w:val="19"/>
                <w:szCs w:val="19"/>
                <w:color w:val="auto"/>
              </w:rPr>
            </w:pPr>
          </w:p>
        </w:tc>
        <w:tc>
          <w:tcPr>
            <w:tcW w:w="540" w:type="dxa"/>
            <w:vAlign w:val="bottom"/>
            <w:shd w:val="clear" w:color="auto" w:fill="E1E1E1"/>
          </w:tcPr>
          <w:p>
            <w:pPr>
              <w:spacing w:after="0"/>
              <w:rPr>
                <w:sz w:val="19"/>
                <w:szCs w:val="19"/>
                <w:color w:val="auto"/>
              </w:rPr>
            </w:pPr>
          </w:p>
        </w:tc>
        <w:tc>
          <w:tcPr>
            <w:tcW w:w="13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E1E1E1"/>
          </w:tcPr>
          <w:p>
            <w:pPr>
              <w:ind w:left="260"/>
              <w:spacing w:after="0"/>
              <w:rPr>
                <w:sz w:val="20"/>
                <w:szCs w:val="20"/>
                <w:color w:val="auto"/>
              </w:rPr>
            </w:pPr>
            <w:r>
              <w:rPr>
                <w:rFonts w:ascii="Times New Roman" w:cs="Times New Roman" w:eastAsia="Times New Roman" w:hAnsi="Times New Roman"/>
                <w:sz w:val="20"/>
                <w:szCs w:val="20"/>
                <w:color w:val="1E1E1E"/>
              </w:rPr>
              <w:t>Issued and outstanding shares: 223,260,316 and 215,887,001,</w:t>
            </w:r>
          </w:p>
        </w:tc>
        <w:tc>
          <w:tcPr>
            <w:tcW w:w="440" w:type="dxa"/>
            <w:vAlign w:val="bottom"/>
            <w:shd w:val="clear" w:color="auto" w:fill="E1E1E1"/>
          </w:tcPr>
          <w:p>
            <w:pPr>
              <w:spacing w:after="0"/>
              <w:rPr>
                <w:sz w:val="20"/>
                <w:szCs w:val="20"/>
                <w:color w:val="auto"/>
              </w:rPr>
            </w:pPr>
          </w:p>
        </w:tc>
        <w:tc>
          <w:tcPr>
            <w:tcW w:w="1140" w:type="dxa"/>
            <w:vAlign w:val="bottom"/>
            <w:shd w:val="clear" w:color="auto" w:fill="E1E1E1"/>
          </w:tcPr>
          <w:p>
            <w:pPr>
              <w:spacing w:after="0"/>
              <w:rPr>
                <w:sz w:val="20"/>
                <w:szCs w:val="20"/>
                <w:color w:val="auto"/>
              </w:rPr>
            </w:pPr>
          </w:p>
        </w:tc>
        <w:tc>
          <w:tcPr>
            <w:tcW w:w="74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34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40" w:type="dxa"/>
            <w:vAlign w:val="bottom"/>
            <w:shd w:val="clear" w:color="auto" w:fill="E1E1E1"/>
          </w:tcPr>
          <w:p>
            <w:pPr>
              <w:ind w:left="260"/>
              <w:spacing w:after="0"/>
              <w:rPr>
                <w:sz w:val="20"/>
                <w:szCs w:val="20"/>
                <w:color w:val="auto"/>
              </w:rPr>
            </w:pPr>
            <w:r>
              <w:rPr>
                <w:rFonts w:ascii="Times New Roman" w:cs="Times New Roman" w:eastAsia="Times New Roman" w:hAnsi="Times New Roman"/>
                <w:sz w:val="20"/>
                <w:szCs w:val="20"/>
                <w:color w:val="1E1E1E"/>
              </w:rPr>
              <w:t>respectively</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2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3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Additional paid-in capital</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2,487.9</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2,514.2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Accumulated deficit</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10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(3,040.8)</w:t>
            </w:r>
          </w:p>
        </w:tc>
        <w:tc>
          <w:tcPr>
            <w:tcW w:w="540" w:type="dxa"/>
            <w:vAlign w:val="bottom"/>
            <w:shd w:val="clear" w:color="auto" w:fill="E1E1E1"/>
          </w:tcPr>
          <w:p>
            <w:pPr>
              <w:spacing w:after="0"/>
              <w:rPr>
                <w:sz w:val="21"/>
                <w:szCs w:val="21"/>
                <w:color w:val="auto"/>
              </w:rPr>
            </w:pPr>
          </w:p>
        </w:tc>
        <w:tc>
          <w:tcPr>
            <w:tcW w:w="14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(5,324.5)</w:t>
            </w:r>
          </w:p>
        </w:tc>
        <w:tc>
          <w:tcPr>
            <w:tcW w:w="0" w:type="dxa"/>
            <w:vAlign w:val="bottom"/>
          </w:tcPr>
          <w:p>
            <w:pPr>
              <w:spacing w:after="0"/>
              <w:rPr>
                <w:sz w:val="1"/>
                <w:szCs w:val="1"/>
                <w:color w:val="auto"/>
              </w:rPr>
            </w:pPr>
          </w:p>
        </w:tc>
      </w:tr>
      <w:tr>
        <w:trPr>
          <w:trHeight w:val="244"/>
        </w:trPr>
        <w:tc>
          <w:tcPr>
            <w:tcW w:w="62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Accumulated other comprehensive loss</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(118.7)</w:t>
            </w:r>
          </w:p>
        </w:tc>
        <w:tc>
          <w:tcPr>
            <w:tcW w:w="5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(344.5)</w:t>
            </w:r>
          </w:p>
        </w:tc>
        <w:tc>
          <w:tcPr>
            <w:tcW w:w="0" w:type="dxa"/>
            <w:vAlign w:val="bottom"/>
          </w:tcPr>
          <w:p>
            <w:pPr>
              <w:spacing w:after="0"/>
              <w:rPr>
                <w:sz w:val="1"/>
                <w:szCs w:val="1"/>
                <w:color w:val="auto"/>
              </w:rPr>
            </w:pPr>
          </w:p>
        </w:tc>
      </w:tr>
      <w:tr>
        <w:trPr>
          <w:trHeight w:val="223"/>
        </w:trPr>
        <w:tc>
          <w:tcPr>
            <w:tcW w:w="6240" w:type="dxa"/>
            <w:vAlign w:val="bottom"/>
            <w:shd w:val="clear" w:color="auto" w:fill="E1E1E1"/>
          </w:tcPr>
          <w:p>
            <w:pPr>
              <w:ind w:left="100"/>
              <w:spacing w:after="0" w:line="223" w:lineRule="exact"/>
              <w:rPr>
                <w:sz w:val="20"/>
                <w:szCs w:val="20"/>
                <w:color w:val="auto"/>
              </w:rPr>
            </w:pPr>
            <w:r>
              <w:rPr>
                <w:rFonts w:ascii="Times New Roman" w:cs="Times New Roman" w:eastAsia="Times New Roman" w:hAnsi="Times New Roman"/>
                <w:sz w:val="20"/>
                <w:szCs w:val="20"/>
                <w:color w:val="1E1E1E"/>
              </w:rPr>
              <w:t>Treasury stock, at cost: 18,665,426 shares and</w:t>
            </w:r>
          </w:p>
        </w:tc>
        <w:tc>
          <w:tcPr>
            <w:tcW w:w="440" w:type="dxa"/>
            <w:vAlign w:val="bottom"/>
            <w:shd w:val="clear" w:color="auto" w:fill="E1E1E1"/>
          </w:tcPr>
          <w:p>
            <w:pPr>
              <w:spacing w:after="0"/>
              <w:rPr>
                <w:sz w:val="19"/>
                <w:szCs w:val="19"/>
                <w:color w:val="auto"/>
              </w:rPr>
            </w:pPr>
          </w:p>
        </w:tc>
        <w:tc>
          <w:tcPr>
            <w:tcW w:w="1140" w:type="dxa"/>
            <w:vAlign w:val="bottom"/>
            <w:shd w:val="clear" w:color="auto" w:fill="E1E1E1"/>
          </w:tcPr>
          <w:p>
            <w:pPr>
              <w:spacing w:after="0"/>
              <w:rPr>
                <w:sz w:val="19"/>
                <w:szCs w:val="19"/>
                <w:color w:val="auto"/>
              </w:rPr>
            </w:pPr>
          </w:p>
        </w:tc>
        <w:tc>
          <w:tcPr>
            <w:tcW w:w="740" w:type="dxa"/>
            <w:vAlign w:val="bottom"/>
            <w:shd w:val="clear" w:color="auto" w:fill="E1E1E1"/>
          </w:tcPr>
          <w:p>
            <w:pPr>
              <w:spacing w:after="0"/>
              <w:rPr>
                <w:sz w:val="19"/>
                <w:szCs w:val="19"/>
                <w:color w:val="auto"/>
              </w:rPr>
            </w:pPr>
          </w:p>
        </w:tc>
        <w:tc>
          <w:tcPr>
            <w:tcW w:w="280" w:type="dxa"/>
            <w:vAlign w:val="bottom"/>
            <w:shd w:val="clear" w:color="auto" w:fill="E1E1E1"/>
          </w:tcPr>
          <w:p>
            <w:pPr>
              <w:spacing w:after="0"/>
              <w:rPr>
                <w:sz w:val="19"/>
                <w:szCs w:val="19"/>
                <w:color w:val="auto"/>
              </w:rPr>
            </w:pPr>
          </w:p>
        </w:tc>
        <w:tc>
          <w:tcPr>
            <w:tcW w:w="540" w:type="dxa"/>
            <w:vAlign w:val="bottom"/>
            <w:shd w:val="clear" w:color="auto" w:fill="E1E1E1"/>
          </w:tcPr>
          <w:p>
            <w:pPr>
              <w:spacing w:after="0"/>
              <w:rPr>
                <w:sz w:val="19"/>
                <w:szCs w:val="19"/>
                <w:color w:val="auto"/>
              </w:rPr>
            </w:pPr>
          </w:p>
        </w:tc>
        <w:tc>
          <w:tcPr>
            <w:tcW w:w="13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240" w:type="dxa"/>
            <w:vAlign w:val="bottom"/>
            <w:shd w:val="clear" w:color="auto" w:fill="E1E1E1"/>
          </w:tcPr>
          <w:p>
            <w:pPr>
              <w:ind w:left="260"/>
              <w:spacing w:after="0"/>
              <w:rPr>
                <w:sz w:val="20"/>
                <w:szCs w:val="20"/>
                <w:color w:val="auto"/>
              </w:rPr>
            </w:pPr>
            <w:r>
              <w:rPr>
                <w:rFonts w:ascii="Times New Roman" w:cs="Times New Roman" w:eastAsia="Times New Roman" w:hAnsi="Times New Roman"/>
                <w:sz w:val="20"/>
                <w:szCs w:val="20"/>
                <w:color w:val="1E1E1E"/>
              </w:rPr>
              <w:t>15,647,303 shares, respectively</w:t>
            </w:r>
          </w:p>
        </w:tc>
        <w:tc>
          <w:tcPr>
            <w:tcW w:w="44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10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(334.9)</w:t>
            </w:r>
          </w:p>
        </w:tc>
        <w:tc>
          <w:tcPr>
            <w:tcW w:w="540" w:type="dxa"/>
            <w:vAlign w:val="bottom"/>
            <w:shd w:val="clear" w:color="auto" w:fill="E1E1E1"/>
          </w:tcPr>
          <w:p>
            <w:pPr>
              <w:spacing w:after="0"/>
              <w:rPr>
                <w:sz w:val="21"/>
                <w:szCs w:val="21"/>
                <w:color w:val="auto"/>
              </w:rPr>
            </w:pPr>
          </w:p>
        </w:tc>
        <w:tc>
          <w:tcPr>
            <w:tcW w:w="14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(303.6)</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1E1E1E"/>
              </w:rPr>
              <w:t>Total stockholders' deficit</w:t>
            </w:r>
          </w:p>
        </w:tc>
        <w:tc>
          <w:tcPr>
            <w:tcW w:w="440" w:type="dxa"/>
            <w:vAlign w:val="bottom"/>
          </w:tcPr>
          <w:p>
            <w:pPr>
              <w:spacing w:after="0" w:line="20" w:lineRule="exact"/>
              <w:rPr>
                <w:sz w:val="1"/>
                <w:szCs w:val="1"/>
                <w:color w:val="auto"/>
              </w:rPr>
            </w:pPr>
          </w:p>
        </w:tc>
        <w:tc>
          <w:tcPr>
            <w:tcW w:w="1140" w:type="dxa"/>
            <w:vAlign w:val="bottom"/>
            <w:shd w:val="clear" w:color="auto" w:fill="1E1E1E"/>
          </w:tcPr>
          <w:p>
            <w:pPr>
              <w:spacing w:after="0" w:line="20" w:lineRule="exact"/>
              <w:rPr>
                <w:sz w:val="1"/>
                <w:szCs w:val="1"/>
                <w:color w:val="auto"/>
              </w:rPr>
            </w:pPr>
          </w:p>
        </w:tc>
        <w:tc>
          <w:tcPr>
            <w:tcW w:w="740" w:type="dxa"/>
            <w:vAlign w:val="bottom"/>
            <w:shd w:val="clear" w:color="auto" w:fill="1E1E1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1E1E1E"/>
          </w:tcPr>
          <w:p>
            <w:pPr>
              <w:spacing w:after="0" w:line="20" w:lineRule="exact"/>
              <w:rPr>
                <w:sz w:val="1"/>
                <w:szCs w:val="1"/>
                <w:color w:val="auto"/>
              </w:rPr>
            </w:pPr>
          </w:p>
        </w:tc>
        <w:tc>
          <w:tcPr>
            <w:tcW w:w="134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(1,004.1)</w:t>
            </w:r>
          </w:p>
        </w:tc>
        <w:tc>
          <w:tcPr>
            <w:tcW w:w="5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(3,456.1)</w:t>
            </w:r>
          </w:p>
        </w:tc>
        <w:tc>
          <w:tcPr>
            <w:tcW w:w="0" w:type="dxa"/>
            <w:vAlign w:val="bottom"/>
          </w:tcPr>
          <w:p>
            <w:pPr>
              <w:spacing w:after="0"/>
              <w:rPr>
                <w:sz w:val="1"/>
                <w:szCs w:val="1"/>
                <w:color w:val="auto"/>
              </w:rPr>
            </w:pPr>
          </w:p>
        </w:tc>
      </w:tr>
      <w:tr>
        <w:trPr>
          <w:trHeight w:val="239"/>
        </w:trPr>
        <w:tc>
          <w:tcPr>
            <w:tcW w:w="6240" w:type="dxa"/>
            <w:vAlign w:val="bottom"/>
            <w:tcBorders>
              <w:top w:val="single" w:sz="8" w:color="E1E1E1"/>
            </w:tcBorders>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Total liabilities and stockholders' deficit</w:t>
            </w:r>
          </w:p>
        </w:tc>
        <w:tc>
          <w:tcPr>
            <w:tcW w:w="440" w:type="dxa"/>
            <w:vAlign w:val="bottom"/>
            <w:tcBorders>
              <w:top w:val="single" w:sz="8" w:color="E1E1E1"/>
            </w:tcBorders>
            <w:shd w:val="clear" w:color="auto" w:fill="E1E1E1"/>
          </w:tcPr>
          <w:p>
            <w:pPr>
              <w:spacing w:after="0"/>
              <w:rPr>
                <w:sz w:val="20"/>
                <w:szCs w:val="20"/>
                <w:color w:val="auto"/>
              </w:rPr>
            </w:pPr>
          </w:p>
        </w:tc>
        <w:tc>
          <w:tcPr>
            <w:tcW w:w="1140" w:type="dxa"/>
            <w:vAlign w:val="bottom"/>
            <w:tcBorders>
              <w:top w:val="single" w:sz="8" w:color="1E1E1E"/>
              <w:bottom w:val="single" w:sz="8" w:color="1E1E1E"/>
            </w:tcBorders>
            <w:shd w:val="clear" w:color="auto" w:fill="E1E1E1"/>
          </w:tcPr>
          <w:p>
            <w:pPr>
              <w:jc w:val="right"/>
              <w:ind w:right="944"/>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9,371.0</w:t>
            </w:r>
          </w:p>
        </w:tc>
        <w:tc>
          <w:tcPr>
            <w:tcW w:w="280" w:type="dxa"/>
            <w:vAlign w:val="bottom"/>
            <w:tcBorders>
              <w:top w:val="single" w:sz="8" w:color="E1E1E1"/>
            </w:tcBorders>
            <w:shd w:val="clear" w:color="auto" w:fill="E1E1E1"/>
          </w:tcPr>
          <w:p>
            <w:pPr>
              <w:spacing w:after="0"/>
              <w:rPr>
                <w:sz w:val="20"/>
                <w:szCs w:val="20"/>
                <w:color w:val="auto"/>
              </w:rPr>
            </w:pPr>
          </w:p>
        </w:tc>
        <w:tc>
          <w:tcPr>
            <w:tcW w:w="540" w:type="dxa"/>
            <w:vAlign w:val="bottom"/>
            <w:tcBorders>
              <w:top w:val="single" w:sz="8" w:color="1E1E1E"/>
              <w:bottom w:val="single" w:sz="8" w:color="1E1E1E"/>
            </w:tcBorders>
            <w:shd w:val="clear" w:color="auto" w:fill="E1E1E1"/>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13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8,747.5</w:t>
            </w: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13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ectPr>
          <w:pgSz w:w="11880" w:h="15480" w:orient="portrait"/>
          <w:cols w:equalWidth="0" w:num="1">
            <w:col w:w="10800"/>
          </w:cols>
          <w:pgMar w:left="5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61</w:t>
      </w:r>
    </w:p>
    <w:p>
      <w:pPr>
        <w:sectPr>
          <w:pgSz w:w="11880" w:h="15480" w:orient="portrait"/>
          <w:cols w:equalWidth="0" w:num="1">
            <w:col w:w="10800"/>
          </w:cols>
          <w:pgMar w:left="540" w:top="1440" w:right="540" w:bottom="0" w:gutter="0" w:footer="0" w:header="0"/>
          <w:type w:val="continuous"/>
        </w:sectPr>
      </w:pPr>
    </w:p>
    <w:bookmarkStart w:id="71" w:name="page72"/>
    <w:bookmarkEnd w:id="71"/>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ind w:right="100"/>
        <w:spacing w:after="0" w:line="207" w:lineRule="auto"/>
        <w:rPr>
          <w:sz w:val="20"/>
          <w:szCs w:val="20"/>
          <w:color w:val="auto"/>
        </w:rPr>
      </w:pPr>
      <w:r>
        <w:rPr>
          <w:rFonts w:ascii="Times New Roman" w:cs="Times New Roman" w:eastAsia="Times New Roman" w:hAnsi="Times New Roman"/>
          <w:sz w:val="20"/>
          <w:szCs w:val="20"/>
          <w:b w:val="1"/>
          <w:bCs w:val="1"/>
          <w:color w:val="1E1E1E"/>
        </w:rPr>
        <w:t xml:space="preserve">Consolidated Statements of Cash Flows </w:t>
      </w:r>
      <w:r>
        <w:rPr>
          <w:rFonts w:ascii="Times New Roman" w:cs="Times New Roman" w:eastAsia="Times New Roman" w:hAnsi="Times New Roman"/>
          <w:sz w:val="26"/>
          <w:szCs w:val="26"/>
          <w:b w:val="1"/>
          <w:bCs w:val="1"/>
          <w:color w:val="1E1E1E"/>
          <w:vertAlign w:val="superscript"/>
        </w:rPr>
        <w:t>(1)</w:t>
      </w:r>
    </w:p>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520" w:type="dxa"/>
            <w:vAlign w:val="bottom"/>
            <w:tcBorders>
              <w:bottom w:val="single" w:sz="8" w:color="1E1E1E"/>
            </w:tcBorders>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8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7060" w:type="dxa"/>
            <w:vAlign w:val="bottom"/>
            <w:tcBorders>
              <w:bottom w:val="single" w:sz="8" w:color="E1E1E1"/>
            </w:tcBorders>
          </w:tcPr>
          <w:p>
            <w:pPr>
              <w:spacing w:after="0"/>
              <w:rPr>
                <w:sz w:val="16"/>
                <w:szCs w:val="16"/>
                <w:color w:val="auto"/>
              </w:rPr>
            </w:pPr>
          </w:p>
        </w:tc>
        <w:tc>
          <w:tcPr>
            <w:tcW w:w="20" w:type="dxa"/>
            <w:vAlign w:val="bottom"/>
            <w:tcBorders>
              <w:bottom w:val="single" w:sz="8" w:color="E1E1E1"/>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20" w:type="dxa"/>
            <w:vAlign w:val="bottom"/>
            <w:tcBorders>
              <w:bottom w:val="single" w:sz="8" w:color="1E1E1E"/>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00" w:type="dxa"/>
            <w:vAlign w:val="bottom"/>
            <w:tcBorders>
              <w:bottom w:val="single" w:sz="8" w:color="E1E1E1"/>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880" w:type="dxa"/>
            <w:vAlign w:val="bottom"/>
            <w:tcBorders>
              <w:bottom w:val="single" w:sz="8" w:color="1E1E1E"/>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80" w:type="dxa"/>
            <w:vAlign w:val="bottom"/>
            <w:tcBorders>
              <w:bottom w:val="single" w:sz="8" w:color="E1E1E1"/>
            </w:tcBorders>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740" w:type="dxa"/>
            <w:vAlign w:val="bottom"/>
            <w:tcBorders>
              <w:bottom w:val="single" w:sz="8" w:color="1E1E1E"/>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r>
      <w:tr>
        <w:trPr>
          <w:trHeight w:val="239"/>
        </w:trPr>
        <w:tc>
          <w:tcPr>
            <w:tcW w:w="70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b w:val="1"/>
                <w:bCs w:val="1"/>
                <w:color w:val="1E1E1E"/>
              </w:rPr>
              <w:t>Operating Activities:</w:t>
            </w:r>
          </w:p>
        </w:tc>
        <w:tc>
          <w:tcPr>
            <w:tcW w:w="2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820" w:type="dxa"/>
            <w:vAlign w:val="bottom"/>
            <w:shd w:val="clear" w:color="auto" w:fill="E1E1E1"/>
          </w:tcPr>
          <w:p>
            <w:pPr>
              <w:spacing w:after="0"/>
              <w:rPr>
                <w:sz w:val="20"/>
                <w:szCs w:val="20"/>
                <w:color w:val="auto"/>
              </w:rPr>
            </w:pPr>
          </w:p>
        </w:tc>
        <w:tc>
          <w:tcPr>
            <w:tcW w:w="30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88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74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r>
      <w:tr>
        <w:trPr>
          <w:trHeight w:val="244"/>
        </w:trPr>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Net income (loss)</w:t>
            </w:r>
          </w:p>
        </w:tc>
        <w:tc>
          <w:tcPr>
            <w:tcW w:w="20" w:type="dxa"/>
            <w:vAlign w:val="bottom"/>
          </w:tcPr>
          <w:p>
            <w:pPr>
              <w:spacing w:after="0"/>
              <w:rPr>
                <w:sz w:val="21"/>
                <w:szCs w:val="21"/>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2,283.7</w:t>
            </w:r>
          </w:p>
        </w:tc>
        <w:tc>
          <w:tcPr>
            <w:tcW w:w="30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(315.5)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8"/>
              </w:rPr>
              <w:t>(1,506.8)</w:t>
            </w:r>
          </w:p>
        </w:tc>
        <w:tc>
          <w:tcPr>
            <w:tcW w:w="80" w:type="dxa"/>
            <w:vAlign w:val="bottom"/>
          </w:tcPr>
          <w:p>
            <w:pPr>
              <w:spacing w:after="0"/>
              <w:rPr>
                <w:sz w:val="21"/>
                <w:szCs w:val="21"/>
                <w:color w:val="auto"/>
              </w:rPr>
            </w:pPr>
          </w:p>
        </w:tc>
      </w:tr>
      <w:tr>
        <w:trPr>
          <w:trHeight w:val="223"/>
        </w:trPr>
        <w:tc>
          <w:tcPr>
            <w:tcW w:w="7060" w:type="dxa"/>
            <w:vAlign w:val="bottom"/>
            <w:shd w:val="clear" w:color="auto" w:fill="E1E1E1"/>
          </w:tcPr>
          <w:p>
            <w:pPr>
              <w:ind w:left="100"/>
              <w:spacing w:after="0" w:line="223" w:lineRule="exact"/>
              <w:rPr>
                <w:sz w:val="20"/>
                <w:szCs w:val="20"/>
                <w:color w:val="auto"/>
              </w:rPr>
            </w:pPr>
            <w:r>
              <w:rPr>
                <w:rFonts w:ascii="Times New Roman" w:cs="Times New Roman" w:eastAsia="Times New Roman" w:hAnsi="Times New Roman"/>
                <w:sz w:val="20"/>
                <w:szCs w:val="20"/>
                <w:color w:val="1E1E1E"/>
              </w:rPr>
              <w:t>Adjustments to reconcile net income (loss) to net cash generated by</w:t>
            </w:r>
          </w:p>
        </w:tc>
        <w:tc>
          <w:tcPr>
            <w:tcW w:w="20" w:type="dxa"/>
            <w:vAlign w:val="bottom"/>
            <w:shd w:val="clear" w:color="auto" w:fill="E1E1E1"/>
          </w:tcPr>
          <w:p>
            <w:pPr>
              <w:spacing w:after="0"/>
              <w:rPr>
                <w:sz w:val="19"/>
                <w:szCs w:val="19"/>
                <w:color w:val="auto"/>
              </w:rPr>
            </w:pPr>
          </w:p>
        </w:tc>
        <w:tc>
          <w:tcPr>
            <w:tcW w:w="200" w:type="dxa"/>
            <w:vAlign w:val="bottom"/>
            <w:shd w:val="clear" w:color="auto" w:fill="E1E1E1"/>
          </w:tcPr>
          <w:p>
            <w:pPr>
              <w:spacing w:after="0"/>
              <w:rPr>
                <w:sz w:val="19"/>
                <w:szCs w:val="19"/>
                <w:color w:val="auto"/>
              </w:rPr>
            </w:pPr>
          </w:p>
        </w:tc>
        <w:tc>
          <w:tcPr>
            <w:tcW w:w="820" w:type="dxa"/>
            <w:vAlign w:val="bottom"/>
            <w:shd w:val="clear" w:color="auto" w:fill="E1E1E1"/>
          </w:tcPr>
          <w:p>
            <w:pPr>
              <w:spacing w:after="0"/>
              <w:rPr>
                <w:sz w:val="19"/>
                <w:szCs w:val="19"/>
                <w:color w:val="auto"/>
              </w:rPr>
            </w:pPr>
          </w:p>
        </w:tc>
        <w:tc>
          <w:tcPr>
            <w:tcW w:w="300" w:type="dxa"/>
            <w:vAlign w:val="bottom"/>
            <w:shd w:val="clear" w:color="auto" w:fill="E1E1E1"/>
          </w:tcPr>
          <w:p>
            <w:pPr>
              <w:spacing w:after="0"/>
              <w:rPr>
                <w:sz w:val="19"/>
                <w:szCs w:val="19"/>
                <w:color w:val="auto"/>
              </w:rPr>
            </w:pPr>
          </w:p>
        </w:tc>
        <w:tc>
          <w:tcPr>
            <w:tcW w:w="240" w:type="dxa"/>
            <w:vAlign w:val="bottom"/>
            <w:shd w:val="clear" w:color="auto" w:fill="E1E1E1"/>
          </w:tcPr>
          <w:p>
            <w:pPr>
              <w:spacing w:after="0"/>
              <w:rPr>
                <w:sz w:val="19"/>
                <w:szCs w:val="19"/>
                <w:color w:val="auto"/>
              </w:rPr>
            </w:pPr>
          </w:p>
        </w:tc>
        <w:tc>
          <w:tcPr>
            <w:tcW w:w="880" w:type="dxa"/>
            <w:vAlign w:val="bottom"/>
            <w:shd w:val="clear" w:color="auto" w:fill="E1E1E1"/>
          </w:tcPr>
          <w:p>
            <w:pPr>
              <w:spacing w:after="0"/>
              <w:rPr>
                <w:sz w:val="19"/>
                <w:szCs w:val="19"/>
                <w:color w:val="auto"/>
              </w:rPr>
            </w:pPr>
          </w:p>
        </w:tc>
        <w:tc>
          <w:tcPr>
            <w:tcW w:w="280" w:type="dxa"/>
            <w:vAlign w:val="bottom"/>
            <w:shd w:val="clear" w:color="auto" w:fill="E1E1E1"/>
          </w:tcPr>
          <w:p>
            <w:pPr>
              <w:spacing w:after="0"/>
              <w:rPr>
                <w:sz w:val="19"/>
                <w:szCs w:val="19"/>
                <w:color w:val="auto"/>
              </w:rPr>
            </w:pPr>
          </w:p>
        </w:tc>
        <w:tc>
          <w:tcPr>
            <w:tcW w:w="180" w:type="dxa"/>
            <w:vAlign w:val="bottom"/>
            <w:shd w:val="clear" w:color="auto" w:fill="E1E1E1"/>
          </w:tcPr>
          <w:p>
            <w:pPr>
              <w:spacing w:after="0"/>
              <w:rPr>
                <w:sz w:val="19"/>
                <w:szCs w:val="19"/>
                <w:color w:val="auto"/>
              </w:rPr>
            </w:pPr>
          </w:p>
        </w:tc>
        <w:tc>
          <w:tcPr>
            <w:tcW w:w="7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r>
      <w:tr>
        <w:trPr>
          <w:trHeight w:val="251"/>
        </w:trPr>
        <w:tc>
          <w:tcPr>
            <w:tcW w:w="7060" w:type="dxa"/>
            <w:vAlign w:val="bottom"/>
            <w:shd w:val="clear" w:color="auto" w:fill="E1E1E1"/>
          </w:tcPr>
          <w:p>
            <w:pPr>
              <w:ind w:left="260"/>
              <w:spacing w:after="0"/>
              <w:rPr>
                <w:sz w:val="20"/>
                <w:szCs w:val="20"/>
                <w:color w:val="auto"/>
              </w:rPr>
            </w:pPr>
            <w:r>
              <w:rPr>
                <w:rFonts w:ascii="Times New Roman" w:cs="Times New Roman" w:eastAsia="Times New Roman" w:hAnsi="Times New Roman"/>
                <w:sz w:val="20"/>
                <w:szCs w:val="20"/>
                <w:color w:val="1E1E1E"/>
              </w:rPr>
              <w:t>operating activities: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8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7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r>
      <w:tr>
        <w:trPr>
          <w:trHeight w:val="244"/>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277.0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370.5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561.2</w:t>
            </w:r>
          </w:p>
        </w:tc>
        <w:tc>
          <w:tcPr>
            <w:tcW w:w="80" w:type="dxa"/>
            <w:vAlign w:val="bottom"/>
          </w:tcPr>
          <w:p>
            <w:pPr>
              <w:spacing w:after="0"/>
              <w:rPr>
                <w:sz w:val="21"/>
                <w:szCs w:val="21"/>
                <w:color w:val="auto"/>
              </w:rPr>
            </w:pPr>
          </w:p>
        </w:tc>
      </w:tr>
      <w:tr>
        <w:trPr>
          <w:trHeight w:val="244"/>
        </w:trPr>
        <w:tc>
          <w:tcPr>
            <w:tcW w:w="70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42.7</w:t>
            </w:r>
          </w:p>
        </w:tc>
        <w:tc>
          <w:tcPr>
            <w:tcW w:w="30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29.1</w:t>
            </w:r>
          </w:p>
        </w:tc>
        <w:tc>
          <w:tcPr>
            <w:tcW w:w="28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47.3</w:t>
            </w:r>
          </w:p>
        </w:tc>
        <w:tc>
          <w:tcPr>
            <w:tcW w:w="80" w:type="dxa"/>
            <w:vAlign w:val="bottom"/>
            <w:shd w:val="clear" w:color="auto" w:fill="E1E1E1"/>
          </w:tcPr>
          <w:p>
            <w:pPr>
              <w:spacing w:after="0"/>
              <w:rPr>
                <w:sz w:val="21"/>
                <w:szCs w:val="21"/>
                <w:color w:val="auto"/>
              </w:rPr>
            </w:pPr>
          </w:p>
        </w:tc>
      </w:tr>
      <w:tr>
        <w:trPr>
          <w:trHeight w:val="244"/>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Deferred income taxes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(1,350.4)</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(180.5)</w:t>
            </w:r>
          </w:p>
        </w:tc>
      </w:tr>
      <w:tr>
        <w:trPr>
          <w:trHeight w:val="244"/>
        </w:trPr>
        <w:tc>
          <w:tcPr>
            <w:tcW w:w="70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Asset impairments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19.2</w:t>
            </w:r>
          </w:p>
        </w:tc>
        <w:tc>
          <w:tcPr>
            <w:tcW w:w="28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1,244.0</w:t>
            </w:r>
          </w:p>
        </w:tc>
        <w:tc>
          <w:tcPr>
            <w:tcW w:w="80" w:type="dxa"/>
            <w:vAlign w:val="bottom"/>
            <w:shd w:val="clear" w:color="auto" w:fill="E1E1E1"/>
          </w:tcPr>
          <w:p>
            <w:pPr>
              <w:spacing w:after="0"/>
              <w:rPr>
                <w:sz w:val="21"/>
                <w:szCs w:val="21"/>
                <w:color w:val="auto"/>
              </w:rPr>
            </w:pPr>
          </w:p>
        </w:tc>
      </w:tr>
      <w:tr>
        <w:trPr>
          <w:trHeight w:val="244"/>
        </w:trPr>
        <w:tc>
          <w:tcPr>
            <w:tcW w:w="70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(Gain) loss on disposal of discontinued operations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(869.0)</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1E1E1E"/>
              </w:rPr>
              <w:t>—</w:t>
            </w:r>
          </w:p>
        </w:tc>
      </w:tr>
      <w:tr>
        <w:trPr>
          <w:trHeight w:val="244"/>
        </w:trPr>
        <w:tc>
          <w:tcPr>
            <w:tcW w:w="706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Changes in assets and liabilities: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8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7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r>
      <w:tr>
        <w:trPr>
          <w:trHeight w:val="244"/>
        </w:trPr>
        <w:tc>
          <w:tcPr>
            <w:tcW w:w="706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Accounts receivable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(281.3)</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(137.6)</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471.9</w:t>
            </w:r>
          </w:p>
        </w:tc>
        <w:tc>
          <w:tcPr>
            <w:tcW w:w="80" w:type="dxa"/>
            <w:vAlign w:val="bottom"/>
          </w:tcPr>
          <w:p>
            <w:pPr>
              <w:spacing w:after="0"/>
              <w:rPr>
                <w:sz w:val="21"/>
                <w:szCs w:val="21"/>
                <w:color w:val="auto"/>
              </w:rPr>
            </w:pPr>
          </w:p>
        </w:tc>
      </w:tr>
      <w:tr>
        <w:trPr>
          <w:trHeight w:val="244"/>
        </w:trPr>
        <w:tc>
          <w:tcPr>
            <w:tcW w:w="7060" w:type="dxa"/>
            <w:vAlign w:val="bottom"/>
            <w:shd w:val="clear" w:color="auto" w:fill="E1E1E1"/>
          </w:tcPr>
          <w:p>
            <w:pPr>
              <w:ind w:left="400"/>
              <w:spacing w:after="0"/>
              <w:rPr>
                <w:sz w:val="20"/>
                <w:szCs w:val="20"/>
                <w:color w:val="auto"/>
              </w:rPr>
            </w:pPr>
            <w:r>
              <w:rPr>
                <w:rFonts w:ascii="Times New Roman" w:cs="Times New Roman" w:eastAsia="Times New Roman" w:hAnsi="Times New Roman"/>
                <w:sz w:val="20"/>
                <w:szCs w:val="20"/>
                <w:color w:val="1E1E1E"/>
              </w:rPr>
              <w:t>Inventories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(92.0)</w:t>
            </w:r>
          </w:p>
        </w:tc>
        <w:tc>
          <w:tcPr>
            <w:tcW w:w="2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152.5</w:t>
            </w:r>
          </w:p>
        </w:tc>
        <w:tc>
          <w:tcPr>
            <w:tcW w:w="28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391.3</w:t>
            </w:r>
          </w:p>
        </w:tc>
        <w:tc>
          <w:tcPr>
            <w:tcW w:w="80" w:type="dxa"/>
            <w:vAlign w:val="bottom"/>
            <w:shd w:val="clear" w:color="auto" w:fill="E1E1E1"/>
          </w:tcPr>
          <w:p>
            <w:pPr>
              <w:spacing w:after="0"/>
              <w:rPr>
                <w:sz w:val="21"/>
                <w:szCs w:val="21"/>
                <w:color w:val="auto"/>
              </w:rPr>
            </w:pPr>
          </w:p>
        </w:tc>
      </w:tr>
      <w:tr>
        <w:trPr>
          <w:trHeight w:val="244"/>
        </w:trPr>
        <w:tc>
          <w:tcPr>
            <w:tcW w:w="706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(55.9)</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45.1</w:t>
            </w:r>
          </w:p>
        </w:tc>
        <w:tc>
          <w:tcPr>
            <w:tcW w:w="80" w:type="dxa"/>
            <w:vAlign w:val="bottom"/>
          </w:tcPr>
          <w:p>
            <w:pPr>
              <w:spacing w:after="0"/>
              <w:rPr>
                <w:sz w:val="21"/>
                <w:szCs w:val="21"/>
                <w:color w:val="auto"/>
              </w:rPr>
            </w:pPr>
          </w:p>
        </w:tc>
      </w:tr>
      <w:tr>
        <w:trPr>
          <w:trHeight w:val="244"/>
        </w:trPr>
        <w:tc>
          <w:tcPr>
            <w:tcW w:w="7060" w:type="dxa"/>
            <w:vAlign w:val="bottom"/>
            <w:shd w:val="clear" w:color="auto" w:fill="E1E1E1"/>
          </w:tcPr>
          <w:p>
            <w:pPr>
              <w:ind w:left="400"/>
              <w:spacing w:after="0"/>
              <w:rPr>
                <w:sz w:val="20"/>
                <w:szCs w:val="20"/>
                <w:color w:val="auto"/>
              </w:rPr>
            </w:pPr>
            <w:r>
              <w:rPr>
                <w:rFonts w:ascii="Times New Roman" w:cs="Times New Roman" w:eastAsia="Times New Roman" w:hAnsi="Times New Roman"/>
                <w:sz w:val="20"/>
                <w:szCs w:val="20"/>
                <w:color w:val="1E1E1E"/>
              </w:rPr>
              <w:t>Accounts payable and other accrued liabilities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325.7</w:t>
            </w:r>
          </w:p>
        </w:tc>
        <w:tc>
          <w:tcPr>
            <w:tcW w:w="30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143.5</w:t>
            </w:r>
          </w:p>
        </w:tc>
        <w:tc>
          <w:tcPr>
            <w:tcW w:w="28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8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(720.2)</w:t>
            </w:r>
          </w:p>
        </w:tc>
      </w:tr>
      <w:tr>
        <w:trPr>
          <w:trHeight w:val="244"/>
        </w:trPr>
        <w:tc>
          <w:tcPr>
            <w:tcW w:w="706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Other noncurrent assets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(49.0)</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(20.6)</w:t>
            </w: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(27.4)</w:t>
            </w:r>
          </w:p>
        </w:tc>
      </w:tr>
      <w:tr>
        <w:trPr>
          <w:trHeight w:val="244"/>
        </w:trPr>
        <w:tc>
          <w:tcPr>
            <w:tcW w:w="7060" w:type="dxa"/>
            <w:vAlign w:val="bottom"/>
            <w:shd w:val="clear" w:color="auto" w:fill="E1E1E1"/>
          </w:tcPr>
          <w:p>
            <w:pPr>
              <w:ind w:left="400"/>
              <w:spacing w:after="0"/>
              <w:rPr>
                <w:sz w:val="20"/>
                <w:szCs w:val="20"/>
                <w:color w:val="auto"/>
              </w:rPr>
            </w:pPr>
            <w:r>
              <w:rPr>
                <w:rFonts w:ascii="Times New Roman" w:cs="Times New Roman" w:eastAsia="Times New Roman" w:hAnsi="Times New Roman"/>
                <w:sz w:val="20"/>
                <w:szCs w:val="20"/>
                <w:color w:val="1E1E1E"/>
              </w:rPr>
              <w:t>Other noncurrent liabilities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(37.8)</w:t>
            </w:r>
          </w:p>
        </w:tc>
        <w:tc>
          <w:tcPr>
            <w:tcW w:w="24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(18.1)</w:t>
            </w:r>
          </w:p>
        </w:tc>
        <w:tc>
          <w:tcPr>
            <w:tcW w:w="18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75.5</w:t>
            </w:r>
          </w:p>
        </w:tc>
        <w:tc>
          <w:tcPr>
            <w:tcW w:w="80" w:type="dxa"/>
            <w:vAlign w:val="bottom"/>
            <w:shd w:val="clear" w:color="auto" w:fill="E1E1E1"/>
          </w:tcPr>
          <w:p>
            <w:pPr>
              <w:spacing w:after="0"/>
              <w:rPr>
                <w:sz w:val="21"/>
                <w:szCs w:val="21"/>
                <w:color w:val="auto"/>
              </w:rPr>
            </w:pPr>
          </w:p>
        </w:tc>
      </w:tr>
      <w:tr>
        <w:trPr>
          <w:trHeight w:val="244"/>
        </w:trPr>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Other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(104.1)</w:t>
            </w:r>
          </w:p>
        </w:tc>
      </w:tr>
      <w:tr>
        <w:trPr>
          <w:trHeight w:val="239"/>
        </w:trPr>
        <w:tc>
          <w:tcPr>
            <w:tcW w:w="706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cash generated by operating activities</w:t>
            </w:r>
          </w:p>
        </w:tc>
        <w:tc>
          <w:tcPr>
            <w:tcW w:w="2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1E1E1E"/>
            </w:tcBorders>
            <w:shd w:val="clear" w:color="auto" w:fill="E1E1E1"/>
          </w:tcPr>
          <w:p>
            <w:pPr>
              <w:spacing w:after="0"/>
              <w:rPr>
                <w:sz w:val="20"/>
                <w:szCs w:val="20"/>
                <w:color w:val="auto"/>
              </w:rPr>
            </w:pPr>
          </w:p>
        </w:tc>
        <w:tc>
          <w:tcPr>
            <w:tcW w:w="8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322.9</w:t>
            </w:r>
          </w:p>
        </w:tc>
        <w:tc>
          <w:tcPr>
            <w:tcW w:w="300" w:type="dxa"/>
            <w:vAlign w:val="bottom"/>
            <w:tcBorders>
              <w:top w:val="single" w:sz="8" w:color="E1E1E1"/>
            </w:tcBorders>
            <w:shd w:val="clear" w:color="auto" w:fill="E1E1E1"/>
          </w:tcPr>
          <w:p>
            <w:pPr>
              <w:spacing w:after="0"/>
              <w:rPr>
                <w:sz w:val="20"/>
                <w:szCs w:val="20"/>
                <w:color w:val="auto"/>
              </w:rPr>
            </w:pPr>
          </w:p>
        </w:tc>
        <w:tc>
          <w:tcPr>
            <w:tcW w:w="240" w:type="dxa"/>
            <w:vAlign w:val="bottom"/>
            <w:tcBorders>
              <w:top w:val="single" w:sz="8" w:color="1E1E1E"/>
            </w:tcBorders>
            <w:shd w:val="clear" w:color="auto" w:fill="E1E1E1"/>
          </w:tcPr>
          <w:p>
            <w:pPr>
              <w:spacing w:after="0"/>
              <w:rPr>
                <w:sz w:val="20"/>
                <w:szCs w:val="20"/>
                <w:color w:val="auto"/>
              </w:rPr>
            </w:pPr>
          </w:p>
        </w:tc>
        <w:tc>
          <w:tcPr>
            <w:tcW w:w="88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273.1</w:t>
            </w:r>
          </w:p>
        </w:tc>
        <w:tc>
          <w:tcPr>
            <w:tcW w:w="28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tcBorders>
            <w:shd w:val="clear" w:color="auto" w:fill="E1E1E1"/>
          </w:tcPr>
          <w:p>
            <w:pPr>
              <w:spacing w:after="0"/>
              <w:rPr>
                <w:sz w:val="20"/>
                <w:szCs w:val="20"/>
                <w:color w:val="auto"/>
              </w:rPr>
            </w:pPr>
          </w:p>
        </w:tc>
        <w:tc>
          <w:tcPr>
            <w:tcW w:w="7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297.3</w:t>
            </w:r>
          </w:p>
        </w:tc>
        <w:tc>
          <w:tcPr>
            <w:tcW w:w="80" w:type="dxa"/>
            <w:vAlign w:val="bottom"/>
            <w:tcBorders>
              <w:top w:val="single" w:sz="8" w:color="E1E1E1"/>
            </w:tcBorders>
            <w:shd w:val="clear" w:color="auto" w:fill="E1E1E1"/>
          </w:tcPr>
          <w:p>
            <w:pPr>
              <w:spacing w:after="0"/>
              <w:rPr>
                <w:sz w:val="20"/>
                <w:szCs w:val="20"/>
                <w:color w:val="auto"/>
              </w:rPr>
            </w:pPr>
          </w:p>
        </w:tc>
      </w:tr>
      <w:tr>
        <w:trPr>
          <w:trHeight w:val="244"/>
        </w:trPr>
        <w:tc>
          <w:tcPr>
            <w:tcW w:w="70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Investing Activities: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706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Additions to property, plant and equipment</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(70.3)</w:t>
            </w:r>
          </w:p>
        </w:tc>
        <w:tc>
          <w:tcPr>
            <w:tcW w:w="24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(25.3)</w:t>
            </w:r>
          </w:p>
        </w:tc>
        <w:tc>
          <w:tcPr>
            <w:tcW w:w="180" w:type="dxa"/>
            <w:vAlign w:val="bottom"/>
            <w:shd w:val="clear" w:color="auto" w:fill="E1E1E1"/>
          </w:tcPr>
          <w:p>
            <w:pPr>
              <w:spacing w:after="0"/>
              <w:rPr>
                <w:sz w:val="21"/>
                <w:szCs w:val="21"/>
                <w:color w:val="auto"/>
              </w:rPr>
            </w:pPr>
          </w:p>
        </w:tc>
        <w:tc>
          <w:tcPr>
            <w:tcW w:w="8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(60.7)</w:t>
            </w:r>
          </w:p>
        </w:tc>
      </w:tr>
      <w:tr>
        <w:trPr>
          <w:trHeight w:val="244"/>
        </w:trPr>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Proceeds from sale of property, plant and equipment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71.2</w:t>
            </w:r>
          </w:p>
        </w:tc>
        <w:tc>
          <w:tcPr>
            <w:tcW w:w="80" w:type="dxa"/>
            <w:vAlign w:val="bottom"/>
          </w:tcPr>
          <w:p>
            <w:pPr>
              <w:spacing w:after="0"/>
              <w:rPr>
                <w:sz w:val="21"/>
                <w:szCs w:val="21"/>
                <w:color w:val="auto"/>
              </w:rPr>
            </w:pPr>
          </w:p>
        </w:tc>
      </w:tr>
      <w:tr>
        <w:trPr>
          <w:trHeight w:val="244"/>
        </w:trPr>
        <w:tc>
          <w:tcPr>
            <w:tcW w:w="706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Net proceeds from divestitures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2,041.9</w:t>
            </w:r>
          </w:p>
        </w:tc>
        <w:tc>
          <w:tcPr>
            <w:tcW w:w="30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1E1E1"/>
          </w:tcPr>
          <w:p>
            <w:pPr>
              <w:spacing w:after="0"/>
              <w:rPr>
                <w:sz w:val="21"/>
                <w:szCs w:val="21"/>
                <w:color w:val="auto"/>
              </w:rPr>
            </w:pPr>
          </w:p>
        </w:tc>
        <w:tc>
          <w:tcPr>
            <w:tcW w:w="82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Acquisition of a business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(45.1)</w:t>
            </w: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706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Other</w:t>
            </w:r>
          </w:p>
        </w:tc>
        <w:tc>
          <w:tcPr>
            <w:tcW w:w="20" w:type="dxa"/>
            <w:vAlign w:val="bottom"/>
            <w:shd w:val="clear" w:color="auto" w:fill="E1E1E1"/>
          </w:tcPr>
          <w:p>
            <w:pPr>
              <w:spacing w:after="0"/>
              <w:rPr>
                <w:sz w:val="21"/>
                <w:szCs w:val="21"/>
                <w:color w:val="auto"/>
              </w:rPr>
            </w:pPr>
          </w:p>
        </w:tc>
        <w:tc>
          <w:tcPr>
            <w:tcW w:w="200" w:type="dxa"/>
            <w:vAlign w:val="bottom"/>
            <w:tcBorders>
              <w:bottom w:val="single" w:sz="8" w:color="1E1E1E"/>
            </w:tcBorders>
            <w:shd w:val="clear" w:color="auto" w:fill="E1E1E1"/>
          </w:tcPr>
          <w:p>
            <w:pPr>
              <w:spacing w:after="0"/>
              <w:rPr>
                <w:sz w:val="21"/>
                <w:szCs w:val="21"/>
                <w:color w:val="auto"/>
              </w:rPr>
            </w:pPr>
          </w:p>
        </w:tc>
        <w:tc>
          <w:tcPr>
            <w:tcW w:w="8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1E1E1"/>
          </w:tcPr>
          <w:p>
            <w:pPr>
              <w:spacing w:after="0"/>
              <w:rPr>
                <w:sz w:val="21"/>
                <w:szCs w:val="21"/>
                <w:color w:val="auto"/>
              </w:rPr>
            </w:pPr>
          </w:p>
        </w:tc>
        <w:tc>
          <w:tcPr>
            <w:tcW w:w="240" w:type="dxa"/>
            <w:vAlign w:val="bottom"/>
            <w:tcBorders>
              <w:bottom w:val="single" w:sz="8" w:color="1E1E1E"/>
            </w:tcBorders>
            <w:shd w:val="clear" w:color="auto" w:fill="E1E1E1"/>
          </w:tcPr>
          <w:p>
            <w:pPr>
              <w:spacing w:after="0"/>
              <w:rPr>
                <w:sz w:val="21"/>
                <w:szCs w:val="21"/>
                <w:color w:val="auto"/>
              </w:rPr>
            </w:pPr>
          </w:p>
        </w:tc>
        <w:tc>
          <w:tcPr>
            <w:tcW w:w="8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13.0</w:t>
            </w:r>
          </w:p>
        </w:tc>
        <w:tc>
          <w:tcPr>
            <w:tcW w:w="280" w:type="dxa"/>
            <w:vAlign w:val="bottom"/>
            <w:shd w:val="clear" w:color="auto" w:fill="E1E1E1"/>
          </w:tcPr>
          <w:p>
            <w:pPr>
              <w:spacing w:after="0"/>
              <w:rPr>
                <w:sz w:val="21"/>
                <w:szCs w:val="21"/>
                <w:color w:val="auto"/>
              </w:rPr>
            </w:pPr>
          </w:p>
        </w:tc>
        <w:tc>
          <w:tcPr>
            <w:tcW w:w="180" w:type="dxa"/>
            <w:vAlign w:val="bottom"/>
            <w:tcBorders>
              <w:bottom w:val="single" w:sz="8" w:color="1E1E1E"/>
            </w:tcBorders>
            <w:shd w:val="clear" w:color="auto" w:fill="E1E1E1"/>
          </w:tcPr>
          <w:p>
            <w:pPr>
              <w:spacing w:after="0"/>
              <w:rPr>
                <w:sz w:val="21"/>
                <w:szCs w:val="21"/>
                <w:color w:val="auto"/>
              </w:rPr>
            </w:pPr>
          </w:p>
        </w:tc>
        <w:tc>
          <w:tcPr>
            <w:tcW w:w="7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20.4</w:t>
            </w:r>
          </w:p>
        </w:tc>
        <w:tc>
          <w:tcPr>
            <w:tcW w:w="80" w:type="dxa"/>
            <w:vAlign w:val="bottom"/>
            <w:shd w:val="clear" w:color="auto" w:fill="E1E1E1"/>
          </w:tcPr>
          <w:p>
            <w:pPr>
              <w:spacing w:after="0"/>
              <w:rPr>
                <w:sz w:val="21"/>
                <w:szCs w:val="21"/>
                <w:color w:val="auto"/>
              </w:rPr>
            </w:pPr>
          </w:p>
        </w:tc>
      </w:tr>
      <w:tr>
        <w:trPr>
          <w:trHeight w:val="239"/>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1E1E1E"/>
              </w:rPr>
              <w:t>Net cash generated by (used in) investing activities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1,981.6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(57.2)</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30.9</w:t>
            </w:r>
          </w:p>
        </w:tc>
        <w:tc>
          <w:tcPr>
            <w:tcW w:w="80" w:type="dxa"/>
            <w:vAlign w:val="bottom"/>
          </w:tcPr>
          <w:p>
            <w:pPr>
              <w:spacing w:after="0"/>
              <w:rPr>
                <w:sz w:val="20"/>
                <w:szCs w:val="20"/>
                <w:color w:val="auto"/>
              </w:rPr>
            </w:pPr>
          </w:p>
        </w:tc>
      </w:tr>
      <w:tr>
        <w:trPr>
          <w:trHeight w:val="244"/>
        </w:trPr>
        <w:tc>
          <w:tcPr>
            <w:tcW w:w="70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b w:val="1"/>
                <w:bCs w:val="1"/>
                <w:color w:val="1E1E1E"/>
              </w:rPr>
              <w:t>Financing Activities: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8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7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r>
      <w:tr>
        <w:trPr>
          <w:trHeight w:val="244"/>
        </w:trPr>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Long-term debt repaid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(2,049.0)</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(4,338.6)</w:t>
            </w: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(32.0)</w:t>
            </w:r>
          </w:p>
        </w:tc>
      </w:tr>
      <w:tr>
        <w:trPr>
          <w:trHeight w:val="244"/>
        </w:trPr>
        <w:tc>
          <w:tcPr>
            <w:tcW w:w="706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Long-term debt repurchases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1E1E1"/>
          </w:tcPr>
          <w:p>
            <w:pPr>
              <w:spacing w:after="0"/>
              <w:rPr>
                <w:sz w:val="21"/>
                <w:szCs w:val="21"/>
                <w:color w:val="auto"/>
              </w:rPr>
            </w:pPr>
          </w:p>
        </w:tc>
        <w:tc>
          <w:tcPr>
            <w:tcW w:w="8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(142.6)</w:t>
            </w:r>
          </w:p>
        </w:tc>
      </w:tr>
      <w:tr>
        <w:trPr>
          <w:trHeight w:val="244"/>
        </w:trPr>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Long-term debt proceeds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4,350.0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706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Cash paid for debt discount</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(59.4)</w:t>
            </w:r>
          </w:p>
        </w:tc>
        <w:tc>
          <w:tcPr>
            <w:tcW w:w="180" w:type="dxa"/>
            <w:vAlign w:val="bottom"/>
            <w:shd w:val="clear" w:color="auto" w:fill="E1E1E1"/>
          </w:tcPr>
          <w:p>
            <w:pPr>
              <w:spacing w:after="0"/>
              <w:rPr>
                <w:sz w:val="21"/>
                <w:szCs w:val="21"/>
                <w:color w:val="auto"/>
              </w:rPr>
            </w:pPr>
          </w:p>
        </w:tc>
        <w:tc>
          <w:tcPr>
            <w:tcW w:w="82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Debt issuance costs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(5.7)</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(33.1)</w:t>
            </w: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706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Dividends paid on Series A convertible preferred stock</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(17.6)</w:t>
            </w:r>
          </w:p>
        </w:tc>
        <w:tc>
          <w:tcPr>
            <w:tcW w:w="24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1E1E1"/>
          </w:tcPr>
          <w:p>
            <w:pPr>
              <w:spacing w:after="0"/>
              <w:rPr>
                <w:sz w:val="21"/>
                <w:szCs w:val="21"/>
                <w:color w:val="auto"/>
              </w:rPr>
            </w:pPr>
          </w:p>
        </w:tc>
        <w:tc>
          <w:tcPr>
            <w:tcW w:w="82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Tax withholding payments for vested equity-based compensation awards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(31.3)</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(1.9)</w:t>
            </w: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(9.1)</w:t>
            </w:r>
          </w:p>
        </w:tc>
      </w:tr>
      <w:tr>
        <w:trPr>
          <w:trHeight w:val="244"/>
        </w:trPr>
        <w:tc>
          <w:tcPr>
            <w:tcW w:w="706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Other</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80" w:type="dxa"/>
            <w:vAlign w:val="bottom"/>
            <w:shd w:val="clear" w:color="auto" w:fill="E1E1E1"/>
          </w:tcPr>
          <w:p>
            <w:pPr>
              <w:spacing w:after="0"/>
              <w:rPr>
                <w:sz w:val="21"/>
                <w:szCs w:val="21"/>
                <w:color w:val="auto"/>
              </w:rPr>
            </w:pPr>
          </w:p>
        </w:tc>
      </w:tr>
      <w:tr>
        <w:trPr>
          <w:trHeight w:val="239"/>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1E1E1E"/>
              </w:rPr>
              <w:t>Net cash used in financing activities</w:t>
            </w:r>
          </w:p>
        </w:tc>
        <w:tc>
          <w:tcPr>
            <w:tcW w:w="20" w:type="dxa"/>
            <w:vAlign w:val="bottom"/>
          </w:tcPr>
          <w:p>
            <w:pPr>
              <w:spacing w:after="0"/>
              <w:rPr>
                <w:sz w:val="20"/>
                <w:szCs w:val="20"/>
                <w:color w:val="auto"/>
              </w:rPr>
            </w:pPr>
          </w:p>
        </w:tc>
        <w:tc>
          <w:tcPr>
            <w:tcW w:w="200" w:type="dxa"/>
            <w:vAlign w:val="bottom"/>
            <w:tcBorders>
              <w:top w:val="single" w:sz="8" w:color="1E1E1E"/>
            </w:tcBorders>
          </w:tcPr>
          <w:p>
            <w:pPr>
              <w:spacing w:after="0"/>
              <w:rPr>
                <w:sz w:val="20"/>
                <w:szCs w:val="20"/>
                <w:color w:val="auto"/>
              </w:rPr>
            </w:pPr>
          </w:p>
        </w:tc>
        <w:tc>
          <w:tcPr>
            <w:tcW w:w="8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(2,053.6)</w:t>
            </w:r>
          </w:p>
        </w:tc>
        <w:tc>
          <w:tcPr>
            <w:tcW w:w="300" w:type="dxa"/>
            <w:vAlign w:val="bottom"/>
          </w:tcPr>
          <w:p>
            <w:pPr>
              <w:spacing w:after="0"/>
              <w:rPr>
                <w:sz w:val="20"/>
                <w:szCs w:val="20"/>
                <w:color w:val="auto"/>
              </w:rPr>
            </w:pPr>
          </w:p>
        </w:tc>
        <w:tc>
          <w:tcPr>
            <w:tcW w:w="240" w:type="dxa"/>
            <w:vAlign w:val="bottom"/>
            <w:tcBorders>
              <w:top w:val="single" w:sz="8" w:color="1E1E1E"/>
            </w:tcBorders>
          </w:tcPr>
          <w:p>
            <w:pPr>
              <w:spacing w:after="0"/>
              <w:rPr>
                <w:sz w:val="20"/>
                <w:szCs w:val="20"/>
                <w:color w:val="auto"/>
              </w:rPr>
            </w:pPr>
          </w:p>
        </w:tc>
        <w:tc>
          <w:tcPr>
            <w:tcW w:w="8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(83.0)</w:t>
            </w:r>
          </w:p>
        </w:tc>
        <w:tc>
          <w:tcPr>
            <w:tcW w:w="280" w:type="dxa"/>
            <w:vAlign w:val="bottom"/>
          </w:tcPr>
          <w:p>
            <w:pPr>
              <w:spacing w:after="0"/>
              <w:rPr>
                <w:sz w:val="20"/>
                <w:szCs w:val="20"/>
                <w:color w:val="auto"/>
              </w:rPr>
            </w:pPr>
          </w:p>
        </w:tc>
        <w:tc>
          <w:tcPr>
            <w:tcW w:w="180" w:type="dxa"/>
            <w:vAlign w:val="bottom"/>
            <w:tcBorders>
              <w:top w:val="single" w:sz="8" w:color="1E1E1E"/>
            </w:tcBorders>
          </w:tcPr>
          <w:p>
            <w:pPr>
              <w:spacing w:after="0"/>
              <w:rPr>
                <w:sz w:val="20"/>
                <w:szCs w:val="20"/>
                <w:color w:val="auto"/>
              </w:rPr>
            </w:pPr>
          </w:p>
        </w:tc>
        <w:tc>
          <w:tcPr>
            <w:tcW w:w="7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(181.7)</w:t>
            </w:r>
          </w:p>
        </w:tc>
        <w:tc>
          <w:tcPr>
            <w:tcW w:w="80" w:type="dxa"/>
            <w:vAlign w:val="bottom"/>
          </w:tcPr>
          <w:p>
            <w:pPr>
              <w:spacing w:after="0"/>
              <w:rPr>
                <w:sz w:val="20"/>
                <w:szCs w:val="20"/>
                <w:color w:val="auto"/>
              </w:rPr>
            </w:pPr>
          </w:p>
        </w:tc>
      </w:tr>
      <w:tr>
        <w:trPr>
          <w:trHeight w:val="244"/>
        </w:trPr>
        <w:tc>
          <w:tcPr>
            <w:tcW w:w="70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Effect of exchange rate changes on cash and cash equivalents</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8.6</w:t>
            </w:r>
          </w:p>
        </w:tc>
        <w:tc>
          <w:tcPr>
            <w:tcW w:w="30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6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(13.4)</w:t>
            </w:r>
          </w:p>
        </w:tc>
        <w:tc>
          <w:tcPr>
            <w:tcW w:w="180" w:type="dxa"/>
            <w:vAlign w:val="bottom"/>
            <w:shd w:val="clear" w:color="auto" w:fill="E1E1E1"/>
          </w:tcPr>
          <w:p>
            <w:pPr>
              <w:spacing w:after="0"/>
              <w:rPr>
                <w:sz w:val="21"/>
                <w:szCs w:val="21"/>
                <w:color w:val="auto"/>
              </w:rPr>
            </w:pPr>
          </w:p>
        </w:tc>
        <w:tc>
          <w:tcPr>
            <w:tcW w:w="8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(0.8)</w:t>
            </w:r>
          </w:p>
        </w:tc>
      </w:tr>
      <w:tr>
        <w:trPr>
          <w:trHeight w:val="239"/>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1E1E1E"/>
              </w:rPr>
              <w:t>Change in cash and cash equivalents</w:t>
            </w:r>
          </w:p>
        </w:tc>
        <w:tc>
          <w:tcPr>
            <w:tcW w:w="20" w:type="dxa"/>
            <w:vAlign w:val="bottom"/>
          </w:tcPr>
          <w:p>
            <w:pPr>
              <w:spacing w:after="0"/>
              <w:rPr>
                <w:sz w:val="20"/>
                <w:szCs w:val="20"/>
                <w:color w:val="auto"/>
              </w:rPr>
            </w:pPr>
          </w:p>
        </w:tc>
        <w:tc>
          <w:tcPr>
            <w:tcW w:w="200" w:type="dxa"/>
            <w:vAlign w:val="bottom"/>
            <w:tcBorders>
              <w:top w:val="single" w:sz="8" w:color="1E1E1E"/>
            </w:tcBorders>
          </w:tcPr>
          <w:p>
            <w:pPr>
              <w:spacing w:after="0"/>
              <w:rPr>
                <w:sz w:val="20"/>
                <w:szCs w:val="20"/>
                <w:color w:val="auto"/>
              </w:rPr>
            </w:pPr>
          </w:p>
        </w:tc>
        <w:tc>
          <w:tcPr>
            <w:tcW w:w="8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259.5</w:t>
            </w:r>
          </w:p>
        </w:tc>
        <w:tc>
          <w:tcPr>
            <w:tcW w:w="300" w:type="dxa"/>
            <w:vAlign w:val="bottom"/>
          </w:tcPr>
          <w:p>
            <w:pPr>
              <w:spacing w:after="0"/>
              <w:rPr>
                <w:sz w:val="20"/>
                <w:szCs w:val="20"/>
                <w:color w:val="auto"/>
              </w:rPr>
            </w:pPr>
          </w:p>
        </w:tc>
        <w:tc>
          <w:tcPr>
            <w:tcW w:w="240" w:type="dxa"/>
            <w:vAlign w:val="bottom"/>
            <w:tcBorders>
              <w:top w:val="single" w:sz="8" w:color="1E1E1E"/>
            </w:tcBorders>
          </w:tcPr>
          <w:p>
            <w:pPr>
              <w:spacing w:after="0"/>
              <w:rPr>
                <w:sz w:val="20"/>
                <w:szCs w:val="20"/>
                <w:color w:val="auto"/>
              </w:rPr>
            </w:pPr>
          </w:p>
        </w:tc>
        <w:tc>
          <w:tcPr>
            <w:tcW w:w="8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119.5</w:t>
            </w:r>
          </w:p>
        </w:tc>
        <w:tc>
          <w:tcPr>
            <w:tcW w:w="280" w:type="dxa"/>
            <w:vAlign w:val="bottom"/>
          </w:tcPr>
          <w:p>
            <w:pPr>
              <w:spacing w:after="0"/>
              <w:rPr>
                <w:sz w:val="20"/>
                <w:szCs w:val="20"/>
                <w:color w:val="auto"/>
              </w:rPr>
            </w:pPr>
          </w:p>
        </w:tc>
        <w:tc>
          <w:tcPr>
            <w:tcW w:w="180" w:type="dxa"/>
            <w:vAlign w:val="bottom"/>
            <w:tcBorders>
              <w:top w:val="single" w:sz="8" w:color="1E1E1E"/>
            </w:tcBorders>
          </w:tcPr>
          <w:p>
            <w:pPr>
              <w:spacing w:after="0"/>
              <w:rPr>
                <w:sz w:val="20"/>
                <w:szCs w:val="20"/>
                <w:color w:val="auto"/>
              </w:rPr>
            </w:pPr>
          </w:p>
        </w:tc>
        <w:tc>
          <w:tcPr>
            <w:tcW w:w="7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145.7</w:t>
            </w:r>
          </w:p>
        </w:tc>
        <w:tc>
          <w:tcPr>
            <w:tcW w:w="80" w:type="dxa"/>
            <w:vAlign w:val="bottom"/>
          </w:tcPr>
          <w:p>
            <w:pPr>
              <w:spacing w:after="0"/>
              <w:rPr>
                <w:sz w:val="20"/>
                <w:szCs w:val="20"/>
                <w:color w:val="auto"/>
              </w:rPr>
            </w:pPr>
          </w:p>
        </w:tc>
      </w:tr>
      <w:tr>
        <w:trPr>
          <w:trHeight w:val="244"/>
        </w:trPr>
        <w:tc>
          <w:tcPr>
            <w:tcW w:w="70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Cash and cash equivalents at beginning of period</w:t>
            </w:r>
          </w:p>
        </w:tc>
        <w:tc>
          <w:tcPr>
            <w:tcW w:w="20" w:type="dxa"/>
            <w:vAlign w:val="bottom"/>
            <w:shd w:val="clear" w:color="auto" w:fill="E1E1E1"/>
          </w:tcPr>
          <w:p>
            <w:pPr>
              <w:spacing w:after="0"/>
              <w:rPr>
                <w:sz w:val="21"/>
                <w:szCs w:val="21"/>
                <w:color w:val="auto"/>
              </w:rPr>
            </w:pPr>
          </w:p>
        </w:tc>
        <w:tc>
          <w:tcPr>
            <w:tcW w:w="200" w:type="dxa"/>
            <w:vAlign w:val="bottom"/>
            <w:tcBorders>
              <w:bottom w:val="single" w:sz="8" w:color="1E1E1E"/>
            </w:tcBorders>
            <w:shd w:val="clear" w:color="auto" w:fill="E1E1E1"/>
          </w:tcPr>
          <w:p>
            <w:pPr>
              <w:spacing w:after="0"/>
              <w:rPr>
                <w:sz w:val="21"/>
                <w:szCs w:val="21"/>
                <w:color w:val="auto"/>
              </w:rPr>
            </w:pPr>
          </w:p>
        </w:tc>
        <w:tc>
          <w:tcPr>
            <w:tcW w:w="8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663.3</w:t>
            </w:r>
          </w:p>
        </w:tc>
        <w:tc>
          <w:tcPr>
            <w:tcW w:w="300" w:type="dxa"/>
            <w:vAlign w:val="bottom"/>
            <w:shd w:val="clear" w:color="auto" w:fill="E1E1E1"/>
          </w:tcPr>
          <w:p>
            <w:pPr>
              <w:spacing w:after="0"/>
              <w:rPr>
                <w:sz w:val="21"/>
                <w:szCs w:val="21"/>
                <w:color w:val="auto"/>
              </w:rPr>
            </w:pPr>
          </w:p>
        </w:tc>
        <w:tc>
          <w:tcPr>
            <w:tcW w:w="240" w:type="dxa"/>
            <w:vAlign w:val="bottom"/>
            <w:tcBorders>
              <w:bottom w:val="single" w:sz="8" w:color="1E1E1E"/>
            </w:tcBorders>
            <w:shd w:val="clear" w:color="auto" w:fill="E1E1E1"/>
          </w:tcPr>
          <w:p>
            <w:pPr>
              <w:spacing w:after="0"/>
              <w:rPr>
                <w:sz w:val="21"/>
                <w:szCs w:val="21"/>
                <w:color w:val="auto"/>
              </w:rPr>
            </w:pPr>
          </w:p>
        </w:tc>
        <w:tc>
          <w:tcPr>
            <w:tcW w:w="8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543.8</w:t>
            </w:r>
          </w:p>
        </w:tc>
        <w:tc>
          <w:tcPr>
            <w:tcW w:w="280" w:type="dxa"/>
            <w:vAlign w:val="bottom"/>
            <w:shd w:val="clear" w:color="auto" w:fill="E1E1E1"/>
          </w:tcPr>
          <w:p>
            <w:pPr>
              <w:spacing w:after="0"/>
              <w:rPr>
                <w:sz w:val="21"/>
                <w:szCs w:val="21"/>
                <w:color w:val="auto"/>
              </w:rPr>
            </w:pPr>
          </w:p>
        </w:tc>
        <w:tc>
          <w:tcPr>
            <w:tcW w:w="180" w:type="dxa"/>
            <w:vAlign w:val="bottom"/>
            <w:tcBorders>
              <w:bottom w:val="single" w:sz="8" w:color="1E1E1E"/>
            </w:tcBorders>
            <w:shd w:val="clear" w:color="auto" w:fill="E1E1E1"/>
          </w:tcPr>
          <w:p>
            <w:pPr>
              <w:spacing w:after="0"/>
              <w:rPr>
                <w:sz w:val="21"/>
                <w:szCs w:val="21"/>
                <w:color w:val="auto"/>
              </w:rPr>
            </w:pPr>
          </w:p>
        </w:tc>
        <w:tc>
          <w:tcPr>
            <w:tcW w:w="7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398.1</w:t>
            </w:r>
          </w:p>
        </w:tc>
        <w:tc>
          <w:tcPr>
            <w:tcW w:w="80" w:type="dxa"/>
            <w:vAlign w:val="bottom"/>
            <w:shd w:val="clear" w:color="auto" w:fill="E1E1E1"/>
          </w:tcPr>
          <w:p>
            <w:pPr>
              <w:spacing w:after="0"/>
              <w:rPr>
                <w:sz w:val="21"/>
                <w:szCs w:val="21"/>
                <w:color w:val="auto"/>
              </w:rPr>
            </w:pPr>
          </w:p>
        </w:tc>
      </w:tr>
      <w:tr>
        <w:trPr>
          <w:trHeight w:val="239"/>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1E1E1E"/>
              </w:rPr>
              <w:t>Cash and cash equivalents at end of period</w:t>
            </w:r>
          </w:p>
        </w:tc>
        <w:tc>
          <w:tcPr>
            <w:tcW w:w="20" w:type="dxa"/>
            <w:vAlign w:val="bottom"/>
            <w:tcBorders>
              <w:bottom w:val="single" w:sz="8" w:color="1E1E1E"/>
            </w:tcBorders>
          </w:tcPr>
          <w:p>
            <w:pPr>
              <w:spacing w:after="0"/>
              <w:rPr>
                <w:sz w:val="20"/>
                <w:szCs w:val="20"/>
                <w:color w:val="auto"/>
              </w:rPr>
            </w:pPr>
          </w:p>
        </w:tc>
        <w:tc>
          <w:tcPr>
            <w:tcW w:w="200" w:type="dxa"/>
            <w:vAlign w:val="bottom"/>
            <w:tcBorders>
              <w:bottom w:val="single" w:sz="8" w:color="1E1E1E"/>
            </w:tcBorders>
          </w:tcPr>
          <w:p>
            <w:pPr>
              <w:jc w:val="right"/>
              <w:ind w:right="35"/>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922.8</w:t>
            </w:r>
          </w:p>
        </w:tc>
        <w:tc>
          <w:tcPr>
            <w:tcW w:w="300" w:type="dxa"/>
            <w:vAlign w:val="bottom"/>
          </w:tcPr>
          <w:p>
            <w:pPr>
              <w:spacing w:after="0"/>
              <w:rPr>
                <w:sz w:val="20"/>
                <w:szCs w:val="20"/>
                <w:color w:val="auto"/>
              </w:rPr>
            </w:pPr>
          </w:p>
        </w:tc>
        <w:tc>
          <w:tcPr>
            <w:tcW w:w="24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663.3</w:t>
            </w:r>
          </w:p>
        </w:tc>
        <w:tc>
          <w:tcPr>
            <w:tcW w:w="280" w:type="dxa"/>
            <w:vAlign w:val="bottom"/>
          </w:tcPr>
          <w:p>
            <w:pPr>
              <w:spacing w:after="0"/>
              <w:rPr>
                <w:sz w:val="20"/>
                <w:szCs w:val="20"/>
                <w:color w:val="auto"/>
              </w:rPr>
            </w:pPr>
          </w:p>
        </w:tc>
        <w:tc>
          <w:tcPr>
            <w:tcW w:w="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543.8</w:t>
            </w:r>
          </w:p>
        </w:tc>
        <w:tc>
          <w:tcPr>
            <w:tcW w:w="8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p>
      <w:pPr>
        <w:ind w:right="340"/>
        <w:spacing w:after="0" w:line="279" w:lineRule="auto"/>
        <w:tabs>
          <w:tab w:leader="none" w:pos="283"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cash flows related to discontinued operations have not been segregated. Accordingly, the Consolidated Statements of Cash Flows include the results of continuing and discontinued operations.</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ectPr>
          <w:pgSz w:w="11880" w:h="15480" w:orient="portrait"/>
          <w:cols w:equalWidth="0" w:num="1">
            <w:col w:w="10800"/>
          </w:cols>
          <w:pgMar w:left="540" w:top="12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62</w:t>
      </w:r>
    </w:p>
    <w:p>
      <w:pPr>
        <w:sectPr>
          <w:pgSz w:w="11880" w:h="15480" w:orient="portrait"/>
          <w:cols w:equalWidth="0" w:num="1">
            <w:col w:w="10800"/>
          </w:cols>
          <w:pgMar w:left="540" w:top="1249" w:right="540" w:bottom="0" w:gutter="0" w:footer="0" w:header="0"/>
          <w:type w:val="continuous"/>
        </w:sectPr>
      </w:pPr>
    </w:p>
    <w:bookmarkStart w:id="72" w:name="page73"/>
    <w:bookmarkEnd w:id="72"/>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Consolidated Statements of Stockholders' Deficit</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1E1E1E"/>
        </w:rPr>
        <w:t>(In millions, except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spacing w:after="0"/>
              <w:rPr>
                <w:sz w:val="17"/>
                <w:szCs w:val="17"/>
                <w:color w:val="auto"/>
              </w:rPr>
            </w:pPr>
          </w:p>
        </w:tc>
        <w:tc>
          <w:tcPr>
            <w:tcW w:w="1920" w:type="dxa"/>
            <w:vAlign w:val="bottom"/>
            <w:tcBorders>
              <w:bottom w:val="single" w:sz="8" w:color="1E1E1E"/>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80" w:type="dxa"/>
            <w:vAlign w:val="bottom"/>
            <w:tcBorders>
              <w:bottom w:val="single" w:sz="8" w:color="1E1E1E"/>
            </w:tcBorders>
          </w:tcPr>
          <w:p>
            <w:pPr>
              <w:spacing w:after="0"/>
              <w:rPr>
                <w:sz w:val="17"/>
                <w:szCs w:val="17"/>
                <w:color w:val="auto"/>
              </w:rPr>
            </w:pPr>
          </w:p>
        </w:tc>
        <w:tc>
          <w:tcPr>
            <w:tcW w:w="110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00" w:type="dxa"/>
            <w:vAlign w:val="bottom"/>
            <w:tcBorders>
              <w:bottom w:val="single" w:sz="8" w:color="E1E1E1"/>
            </w:tcBorders>
          </w:tcPr>
          <w:p>
            <w:pPr>
              <w:spacing w:after="0"/>
              <w:rPr>
                <w:sz w:val="16"/>
                <w:szCs w:val="16"/>
                <w:color w:val="auto"/>
              </w:rPr>
            </w:pPr>
          </w:p>
        </w:tc>
        <w:tc>
          <w:tcPr>
            <w:tcW w:w="560" w:type="dxa"/>
            <w:vAlign w:val="bottom"/>
            <w:tcBorders>
              <w:bottom w:val="single" w:sz="8" w:color="E1E1E1"/>
            </w:tcBorders>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1080" w:type="dxa"/>
            <w:vAlign w:val="bottom"/>
            <w:tcBorders>
              <w:bottom w:val="single" w:sz="8" w:color="1E1E1E"/>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00" w:type="dxa"/>
            <w:vAlign w:val="bottom"/>
            <w:tcBorders>
              <w:bottom w:val="single" w:sz="8" w:color="E1E1E1"/>
            </w:tcBorders>
          </w:tcPr>
          <w:p>
            <w:pPr>
              <w:spacing w:after="0"/>
              <w:rPr>
                <w:sz w:val="16"/>
                <w:szCs w:val="16"/>
                <w:color w:val="auto"/>
              </w:rPr>
            </w:pPr>
          </w:p>
        </w:tc>
        <w:tc>
          <w:tcPr>
            <w:tcW w:w="120" w:type="dxa"/>
            <w:vAlign w:val="bottom"/>
            <w:tcBorders>
              <w:bottom w:val="single" w:sz="8" w:color="E1E1E1"/>
            </w:tcBorders>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1100" w:type="dxa"/>
            <w:vAlign w:val="bottom"/>
            <w:tcBorders>
              <w:bottom w:val="single" w:sz="8" w:color="1E1E1E"/>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20" w:type="dxa"/>
            <w:vAlign w:val="bottom"/>
            <w:tcBorders>
              <w:bottom w:val="single" w:sz="8" w:color="E1E1E1"/>
            </w:tcBorders>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1100" w:type="dxa"/>
            <w:vAlign w:val="bottom"/>
            <w:tcBorders>
              <w:bottom w:val="single" w:sz="8" w:color="1E1E1E"/>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7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Number of common shares outstanding:</w:t>
            </w:r>
          </w:p>
        </w:tc>
        <w:tc>
          <w:tcPr>
            <w:tcW w:w="56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108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1100" w:type="dxa"/>
            <w:vAlign w:val="bottom"/>
            <w:shd w:val="clear" w:color="auto" w:fill="E1E1E1"/>
          </w:tcPr>
          <w:p>
            <w:pPr>
              <w:spacing w:after="0"/>
              <w:rPr>
                <w:sz w:val="20"/>
                <w:szCs w:val="20"/>
                <w:color w:val="auto"/>
              </w:rPr>
            </w:pPr>
          </w:p>
        </w:tc>
        <w:tc>
          <w:tcPr>
            <w:tcW w:w="320" w:type="dxa"/>
            <w:vAlign w:val="bottom"/>
            <w:tcBorders>
              <w:right w:val="single" w:sz="8" w:color="E1E1E1"/>
            </w:tcBorders>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110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215,887,001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212,108,634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208,371,426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Issuance of shares under equity-based compensation plans</w:t>
            </w:r>
          </w:p>
        </w:tc>
        <w:tc>
          <w:tcPr>
            <w:tcW w:w="5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10,391,438</w:t>
            </w:r>
          </w:p>
        </w:tc>
        <w:tc>
          <w:tcPr>
            <w:tcW w:w="2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5,001,544</w:t>
            </w:r>
          </w:p>
        </w:tc>
        <w:tc>
          <w:tcPr>
            <w:tcW w:w="320" w:type="dxa"/>
            <w:vAlign w:val="bottom"/>
            <w:tcBorders>
              <w:right w:val="single" w:sz="8" w:color="E1E1E1"/>
            </w:tcBorders>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5,434,639</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Shares surrendered under equity-based compensation plans</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(3,018,123)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(1,223,177)</w:t>
            </w:r>
          </w:p>
        </w:tc>
        <w:tc>
          <w:tcPr>
            <w:tcW w:w="1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(1,697,431)</w:t>
            </w:r>
          </w:p>
        </w:tc>
        <w:tc>
          <w:tcPr>
            <w:tcW w:w="0" w:type="dxa"/>
            <w:vAlign w:val="bottom"/>
          </w:tcPr>
          <w:p>
            <w:pPr>
              <w:spacing w:after="0"/>
              <w:rPr>
                <w:sz w:val="1"/>
                <w:szCs w:val="1"/>
                <w:color w:val="auto"/>
              </w:rPr>
            </w:pPr>
          </w:p>
        </w:tc>
      </w:tr>
      <w:tr>
        <w:trPr>
          <w:trHeight w:val="239"/>
        </w:trPr>
        <w:tc>
          <w:tcPr>
            <w:tcW w:w="5700" w:type="dxa"/>
            <w:vAlign w:val="bottom"/>
            <w:tcBorders>
              <w:top w:val="single" w:sz="8" w:color="E1E1E1"/>
            </w:tcBorders>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56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bottom w:val="single" w:sz="8" w:color="1E1E1E"/>
            </w:tcBorders>
            <w:shd w:val="clear" w:color="auto" w:fill="E1E1E1"/>
          </w:tcPr>
          <w:p>
            <w:pPr>
              <w:spacing w:after="0"/>
              <w:rPr>
                <w:sz w:val="20"/>
                <w:szCs w:val="20"/>
                <w:color w:val="auto"/>
              </w:rPr>
            </w:pPr>
          </w:p>
        </w:tc>
        <w:tc>
          <w:tcPr>
            <w:tcW w:w="10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223,260,316</w:t>
            </w:r>
          </w:p>
        </w:tc>
        <w:tc>
          <w:tcPr>
            <w:tcW w:w="20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bottom w:val="single" w:sz="8" w:color="1E1E1E"/>
            </w:tcBorders>
            <w:shd w:val="clear" w:color="auto" w:fill="E1E1E1"/>
          </w:tcPr>
          <w:p>
            <w:pPr>
              <w:spacing w:after="0"/>
              <w:rPr>
                <w:sz w:val="20"/>
                <w:szCs w:val="20"/>
                <w:color w:val="auto"/>
              </w:rPr>
            </w:pPr>
          </w:p>
        </w:tc>
        <w:tc>
          <w:tcPr>
            <w:tcW w:w="11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215,887,001</w:t>
            </w:r>
          </w:p>
        </w:tc>
        <w:tc>
          <w:tcPr>
            <w:tcW w:w="320" w:type="dxa"/>
            <w:vAlign w:val="bottom"/>
            <w:tcBorders>
              <w:top w:val="single" w:sz="8" w:color="E1E1E1"/>
              <w:right w:val="single" w:sz="8" w:color="E1E1E1"/>
            </w:tcBorders>
            <w:shd w:val="clear" w:color="auto" w:fill="E1E1E1"/>
          </w:tcPr>
          <w:p>
            <w:pPr>
              <w:spacing w:after="0"/>
              <w:rPr>
                <w:sz w:val="20"/>
                <w:szCs w:val="20"/>
                <w:color w:val="auto"/>
              </w:rPr>
            </w:pPr>
          </w:p>
        </w:tc>
        <w:tc>
          <w:tcPr>
            <w:tcW w:w="180" w:type="dxa"/>
            <w:vAlign w:val="bottom"/>
            <w:tcBorders>
              <w:top w:val="single" w:sz="8" w:color="1E1E1E"/>
              <w:bottom w:val="single" w:sz="8" w:color="1E1E1E"/>
            </w:tcBorders>
            <w:shd w:val="clear" w:color="auto" w:fill="E1E1E1"/>
          </w:tcPr>
          <w:p>
            <w:pPr>
              <w:spacing w:after="0"/>
              <w:rPr>
                <w:sz w:val="20"/>
                <w:szCs w:val="20"/>
                <w:color w:val="auto"/>
              </w:rPr>
            </w:pPr>
          </w:p>
        </w:tc>
        <w:tc>
          <w:tcPr>
            <w:tcW w:w="11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212,108,634</w:t>
            </w: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Common stock:</w:t>
            </w:r>
          </w:p>
        </w:tc>
        <w:tc>
          <w:tcPr>
            <w:tcW w:w="56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74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200" w:type="dxa"/>
            <w:vAlign w:val="bottom"/>
            <w:shd w:val="clear" w:color="auto" w:fill="E1E1E1"/>
          </w:tcPr>
          <w:p>
            <w:pPr>
              <w:spacing w:after="0"/>
              <w:rPr>
                <w:sz w:val="21"/>
                <w:szCs w:val="21"/>
                <w:color w:val="auto"/>
              </w:rPr>
            </w:pPr>
          </w:p>
        </w:tc>
        <w:tc>
          <w:tcPr>
            <w:tcW w:w="30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320" w:type="dxa"/>
            <w:vAlign w:val="bottom"/>
            <w:tcBorders>
              <w:right w:val="single" w:sz="8" w:color="E1E1E1"/>
            </w:tcBorders>
            <w:shd w:val="clear" w:color="auto" w:fill="E1E1E1"/>
          </w:tcPr>
          <w:p>
            <w:pPr>
              <w:spacing w:after="0"/>
              <w:rPr>
                <w:sz w:val="21"/>
                <w:szCs w:val="21"/>
                <w:color w:val="auto"/>
              </w:rPr>
            </w:pP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Issuance of shares under equity-based compensation plans</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00" w:type="dxa"/>
            <w:vAlign w:val="bottom"/>
            <w:tcBorders>
              <w:top w:val="single" w:sz="8" w:color="E1E1E1"/>
            </w:tcBorders>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56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20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320" w:type="dxa"/>
            <w:vAlign w:val="bottom"/>
            <w:tcBorders>
              <w:top w:val="single" w:sz="8" w:color="E1E1E1"/>
              <w:right w:val="single" w:sz="8" w:color="E1E1E1"/>
            </w:tcBorders>
            <w:shd w:val="clear" w:color="auto" w:fill="E1E1E1"/>
          </w:tcPr>
          <w:p>
            <w:pPr>
              <w:spacing w:after="0"/>
              <w:rPr>
                <w:sz w:val="20"/>
                <w:szCs w:val="20"/>
                <w:color w:val="auto"/>
              </w:rPr>
            </w:pPr>
          </w:p>
        </w:tc>
        <w:tc>
          <w:tcPr>
            <w:tcW w:w="1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1E1E1E"/>
              </w:rPr>
              <w:t>Additional paid-in capital:</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74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2,514.2</w:t>
            </w:r>
          </w:p>
        </w:tc>
        <w:tc>
          <w:tcPr>
            <w:tcW w:w="200" w:type="dxa"/>
            <w:vAlign w:val="bottom"/>
            <w:shd w:val="clear" w:color="auto" w:fill="E1E1E1"/>
          </w:tcPr>
          <w:p>
            <w:pPr>
              <w:spacing w:after="0"/>
              <w:rPr>
                <w:sz w:val="21"/>
                <w:szCs w:val="21"/>
                <w:color w:val="auto"/>
              </w:rPr>
            </w:pPr>
          </w:p>
        </w:tc>
        <w:tc>
          <w:tcPr>
            <w:tcW w:w="30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2,550.4</w:t>
            </w:r>
          </w:p>
        </w:tc>
        <w:tc>
          <w:tcPr>
            <w:tcW w:w="320" w:type="dxa"/>
            <w:vAlign w:val="bottom"/>
            <w:tcBorders>
              <w:right w:val="single" w:sz="8" w:color="E1E1E1"/>
            </w:tcBorders>
            <w:shd w:val="clear" w:color="auto" w:fill="E1E1E1"/>
          </w:tcPr>
          <w:p>
            <w:pPr>
              <w:spacing w:after="0"/>
              <w:rPr>
                <w:sz w:val="21"/>
                <w:szCs w:val="21"/>
                <w:color w:val="auto"/>
              </w:rPr>
            </w:pP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2,542.9</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Issuance of shares under equity-based compensation plans</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(0.1)</w:t>
            </w:r>
          </w:p>
        </w:tc>
        <w:tc>
          <w:tcPr>
            <w:tcW w:w="1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5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5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42.7</w:t>
            </w:r>
          </w:p>
        </w:tc>
        <w:tc>
          <w:tcPr>
            <w:tcW w:w="2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29.1</w:t>
            </w:r>
          </w:p>
        </w:tc>
        <w:tc>
          <w:tcPr>
            <w:tcW w:w="320" w:type="dxa"/>
            <w:vAlign w:val="bottom"/>
            <w:tcBorders>
              <w:right w:val="single" w:sz="8" w:color="E1E1E1"/>
            </w:tcBorders>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47.3</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Dividends on Series A convertible preferred stock</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(65.2)</w:t>
            </w:r>
          </w:p>
        </w:tc>
        <w:tc>
          <w:tcPr>
            <w:tcW w:w="1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(61.8)</w:t>
            </w:r>
          </w:p>
        </w:tc>
        <w:tc>
          <w:tcPr>
            <w:tcW w:w="0" w:type="dxa"/>
            <w:vAlign w:val="bottom"/>
          </w:tcPr>
          <w:p>
            <w:pPr>
              <w:spacing w:after="0"/>
              <w:rPr>
                <w:sz w:val="1"/>
                <w:szCs w:val="1"/>
                <w:color w:val="auto"/>
              </w:rPr>
            </w:pPr>
          </w:p>
        </w:tc>
      </w:tr>
      <w:tr>
        <w:trPr>
          <w:trHeight w:val="244"/>
        </w:trPr>
        <w:tc>
          <w:tcPr>
            <w:tcW w:w="5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Other</w:t>
            </w:r>
          </w:p>
        </w:tc>
        <w:tc>
          <w:tcPr>
            <w:tcW w:w="5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28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420" w:type="dxa"/>
            <w:vAlign w:val="bottom"/>
            <w:tcBorders>
              <w:right w:val="single" w:sz="8" w:color="E1E1E1"/>
            </w:tcBorders>
            <w:gridSpan w:val="2"/>
            <w:shd w:val="clear" w:color="auto" w:fill="E1E1E1"/>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22.0</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00" w:type="dxa"/>
            <w:vAlign w:val="bottom"/>
            <w:tcBorders>
              <w:bottom w:val="single" w:sz="8" w:color="E1E1E1"/>
            </w:tcBorders>
          </w:tcPr>
          <w:p>
            <w:pPr>
              <w:ind w:left="100"/>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560" w:type="dxa"/>
            <w:vAlign w:val="bottom"/>
            <w:tcBorders>
              <w:bottom w:val="single" w:sz="8" w:color="E1E1E1"/>
            </w:tcBorders>
          </w:tcPr>
          <w:p>
            <w:pPr>
              <w:spacing w:after="0"/>
              <w:rPr>
                <w:sz w:val="20"/>
                <w:szCs w:val="20"/>
                <w:color w:val="auto"/>
              </w:rPr>
            </w:pPr>
          </w:p>
        </w:tc>
        <w:tc>
          <w:tcPr>
            <w:tcW w:w="1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2,487.9</w:t>
            </w:r>
          </w:p>
        </w:tc>
        <w:tc>
          <w:tcPr>
            <w:tcW w:w="200" w:type="dxa"/>
            <w:vAlign w:val="bottom"/>
            <w:tcBorders>
              <w:bottom w:val="single" w:sz="8" w:color="E1E1E1"/>
            </w:tcBorders>
          </w:tcPr>
          <w:p>
            <w:pPr>
              <w:spacing w:after="0"/>
              <w:rPr>
                <w:sz w:val="20"/>
                <w:szCs w:val="20"/>
                <w:color w:val="auto"/>
              </w:rPr>
            </w:pPr>
          </w:p>
        </w:tc>
        <w:tc>
          <w:tcPr>
            <w:tcW w:w="120" w:type="dxa"/>
            <w:vAlign w:val="bottom"/>
            <w:tcBorders>
              <w:bottom w:val="single" w:sz="8" w:color="E1E1E1"/>
            </w:tcBorders>
          </w:tcPr>
          <w:p>
            <w:pPr>
              <w:spacing w:after="0"/>
              <w:rPr>
                <w:sz w:val="20"/>
                <w:szCs w:val="20"/>
                <w:color w:val="auto"/>
              </w:rPr>
            </w:pPr>
          </w:p>
        </w:tc>
        <w:tc>
          <w:tcPr>
            <w:tcW w:w="1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2,514.2</w:t>
            </w:r>
          </w:p>
        </w:tc>
        <w:tc>
          <w:tcPr>
            <w:tcW w:w="320" w:type="dxa"/>
            <w:vAlign w:val="bottom"/>
            <w:tcBorders>
              <w:bottom w:val="single" w:sz="8" w:color="E1E1E1"/>
            </w:tcBorders>
          </w:tcPr>
          <w:p>
            <w:pPr>
              <w:spacing w:after="0"/>
              <w:rPr>
                <w:sz w:val="20"/>
                <w:szCs w:val="20"/>
                <w:color w:val="auto"/>
              </w:rPr>
            </w:pPr>
          </w:p>
        </w:tc>
        <w:tc>
          <w:tcPr>
            <w:tcW w:w="1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2,550.4</w:t>
            </w:r>
          </w:p>
        </w:tc>
        <w:tc>
          <w:tcPr>
            <w:tcW w:w="80" w:type="dxa"/>
            <w:vAlign w:val="bottom"/>
            <w:tcBorders>
              <w:bottom w:val="single" w:sz="8" w:color="E1E1E1"/>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Accumulated deficit:</w:t>
            </w:r>
          </w:p>
        </w:tc>
        <w:tc>
          <w:tcPr>
            <w:tcW w:w="56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108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1100" w:type="dxa"/>
            <w:vAlign w:val="bottom"/>
            <w:shd w:val="clear" w:color="auto" w:fill="E1E1E1"/>
          </w:tcPr>
          <w:p>
            <w:pPr>
              <w:spacing w:after="0"/>
              <w:rPr>
                <w:sz w:val="20"/>
                <w:szCs w:val="20"/>
                <w:color w:val="auto"/>
              </w:rPr>
            </w:pPr>
          </w:p>
        </w:tc>
        <w:tc>
          <w:tcPr>
            <w:tcW w:w="320" w:type="dxa"/>
            <w:vAlign w:val="bottom"/>
            <w:tcBorders>
              <w:right w:val="single" w:sz="8" w:color="E1E1E1"/>
            </w:tcBorders>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110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5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(5,324.5)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(5,009.0)</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(3,502.2)</w:t>
            </w:r>
          </w:p>
        </w:tc>
        <w:tc>
          <w:tcPr>
            <w:tcW w:w="0" w:type="dxa"/>
            <w:vAlign w:val="bottom"/>
          </w:tcPr>
          <w:p>
            <w:pPr>
              <w:spacing w:after="0"/>
              <w:rPr>
                <w:sz w:val="1"/>
                <w:szCs w:val="1"/>
                <w:color w:val="auto"/>
              </w:rPr>
            </w:pPr>
          </w:p>
        </w:tc>
      </w:tr>
      <w:tr>
        <w:trPr>
          <w:trHeight w:val="244"/>
        </w:trPr>
        <w:tc>
          <w:tcPr>
            <w:tcW w:w="5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Net income (loss)</w:t>
            </w:r>
          </w:p>
        </w:tc>
        <w:tc>
          <w:tcPr>
            <w:tcW w:w="5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2,283.7</w:t>
            </w:r>
          </w:p>
        </w:tc>
        <w:tc>
          <w:tcPr>
            <w:tcW w:w="2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420" w:type="dxa"/>
            <w:vAlign w:val="bottom"/>
            <w:tcBorders>
              <w:right w:val="single" w:sz="8" w:color="E1E1E1"/>
            </w:tcBorders>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(315.5)</w:t>
            </w:r>
          </w:p>
        </w:tc>
        <w:tc>
          <w:tcPr>
            <w:tcW w:w="180" w:type="dxa"/>
            <w:vAlign w:val="bottom"/>
            <w:shd w:val="clear" w:color="auto" w:fill="E1E1E1"/>
          </w:tcPr>
          <w:p>
            <w:pPr>
              <w:spacing w:after="0"/>
              <w:rPr>
                <w:sz w:val="21"/>
                <w:szCs w:val="21"/>
                <w:color w:val="auto"/>
              </w:rPr>
            </w:pPr>
          </w:p>
        </w:tc>
        <w:tc>
          <w:tcPr>
            <w:tcW w:w="11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(1,506.8)</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56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0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7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(3,040.8)</w:t>
            </w:r>
          </w:p>
        </w:tc>
        <w:tc>
          <w:tcPr>
            <w:tcW w:w="1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(5,324.5)</w:t>
            </w:r>
          </w:p>
        </w:tc>
        <w:tc>
          <w:tcPr>
            <w:tcW w:w="3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(5,009.0)</w:t>
            </w:r>
          </w:p>
        </w:tc>
        <w:tc>
          <w:tcPr>
            <w:tcW w:w="0" w:type="dxa"/>
            <w:vAlign w:val="bottom"/>
          </w:tcPr>
          <w:p>
            <w:pPr>
              <w:spacing w:after="0"/>
              <w:rPr>
                <w:sz w:val="1"/>
                <w:szCs w:val="1"/>
                <w:color w:val="auto"/>
              </w:rPr>
            </w:pPr>
          </w:p>
        </w:tc>
      </w:tr>
      <w:tr>
        <w:trPr>
          <w:trHeight w:val="239"/>
        </w:trPr>
        <w:tc>
          <w:tcPr>
            <w:tcW w:w="57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Accumulated other comprehensive loss:</w:t>
            </w:r>
          </w:p>
        </w:tc>
        <w:tc>
          <w:tcPr>
            <w:tcW w:w="56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tcBorders>
            <w:shd w:val="clear" w:color="auto" w:fill="E1E1E1"/>
          </w:tcPr>
          <w:p>
            <w:pPr>
              <w:spacing w:after="0"/>
              <w:rPr>
                <w:sz w:val="20"/>
                <w:szCs w:val="20"/>
                <w:color w:val="auto"/>
              </w:rPr>
            </w:pPr>
          </w:p>
        </w:tc>
        <w:tc>
          <w:tcPr>
            <w:tcW w:w="1080" w:type="dxa"/>
            <w:vAlign w:val="bottom"/>
            <w:tcBorders>
              <w:top w:val="single" w:sz="8" w:color="1E1E1E"/>
            </w:tcBorders>
            <w:shd w:val="clear" w:color="auto" w:fill="E1E1E1"/>
          </w:tcPr>
          <w:p>
            <w:pPr>
              <w:spacing w:after="0"/>
              <w:rPr>
                <w:sz w:val="20"/>
                <w:szCs w:val="20"/>
                <w:color w:val="auto"/>
              </w:rPr>
            </w:pPr>
          </w:p>
        </w:tc>
        <w:tc>
          <w:tcPr>
            <w:tcW w:w="20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tcBorders>
            <w:shd w:val="clear" w:color="auto" w:fill="E1E1E1"/>
          </w:tcPr>
          <w:p>
            <w:pPr>
              <w:spacing w:after="0"/>
              <w:rPr>
                <w:sz w:val="20"/>
                <w:szCs w:val="20"/>
                <w:color w:val="auto"/>
              </w:rPr>
            </w:pPr>
          </w:p>
        </w:tc>
        <w:tc>
          <w:tcPr>
            <w:tcW w:w="1100" w:type="dxa"/>
            <w:vAlign w:val="bottom"/>
            <w:tcBorders>
              <w:top w:val="single" w:sz="8" w:color="1E1E1E"/>
            </w:tcBorders>
            <w:shd w:val="clear" w:color="auto" w:fill="E1E1E1"/>
          </w:tcPr>
          <w:p>
            <w:pPr>
              <w:spacing w:after="0"/>
              <w:rPr>
                <w:sz w:val="20"/>
                <w:szCs w:val="20"/>
                <w:color w:val="auto"/>
              </w:rPr>
            </w:pPr>
          </w:p>
        </w:tc>
        <w:tc>
          <w:tcPr>
            <w:tcW w:w="320" w:type="dxa"/>
            <w:vAlign w:val="bottom"/>
            <w:tcBorders>
              <w:top w:val="single" w:sz="8" w:color="E1E1E1"/>
              <w:right w:val="single" w:sz="8" w:color="E1E1E1"/>
            </w:tcBorders>
            <w:shd w:val="clear" w:color="auto" w:fill="E1E1E1"/>
          </w:tcPr>
          <w:p>
            <w:pPr>
              <w:spacing w:after="0"/>
              <w:rPr>
                <w:sz w:val="20"/>
                <w:szCs w:val="20"/>
                <w:color w:val="auto"/>
              </w:rPr>
            </w:pPr>
          </w:p>
        </w:tc>
        <w:tc>
          <w:tcPr>
            <w:tcW w:w="180" w:type="dxa"/>
            <w:vAlign w:val="bottom"/>
            <w:tcBorders>
              <w:top w:val="single" w:sz="8" w:color="1E1E1E"/>
            </w:tcBorders>
            <w:shd w:val="clear" w:color="auto" w:fill="E1E1E1"/>
          </w:tcPr>
          <w:p>
            <w:pPr>
              <w:spacing w:after="0"/>
              <w:rPr>
                <w:sz w:val="20"/>
                <w:szCs w:val="20"/>
                <w:color w:val="auto"/>
              </w:rPr>
            </w:pPr>
          </w:p>
        </w:tc>
        <w:tc>
          <w:tcPr>
            <w:tcW w:w="1100" w:type="dxa"/>
            <w:vAlign w:val="bottom"/>
            <w:tcBorders>
              <w:top w:val="single" w:sz="8" w:color="1E1E1E"/>
            </w:tcBorders>
            <w:shd w:val="clear" w:color="auto" w:fill="E1E1E1"/>
          </w:tcPr>
          <w:p>
            <w:pPr>
              <w:spacing w:after="0"/>
              <w:rPr>
                <w:sz w:val="20"/>
                <w:szCs w:val="20"/>
                <w:color w:val="auto"/>
              </w:rPr>
            </w:pP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5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(344.5)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(266.7)</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(296.3)</w:t>
            </w:r>
          </w:p>
        </w:tc>
        <w:tc>
          <w:tcPr>
            <w:tcW w:w="0" w:type="dxa"/>
            <w:vAlign w:val="bottom"/>
          </w:tcPr>
          <w:p>
            <w:pPr>
              <w:spacing w:after="0"/>
              <w:rPr>
                <w:sz w:val="1"/>
                <w:szCs w:val="1"/>
                <w:color w:val="auto"/>
              </w:rPr>
            </w:pPr>
          </w:p>
        </w:tc>
      </w:tr>
      <w:tr>
        <w:trPr>
          <w:trHeight w:val="244"/>
        </w:trPr>
        <w:tc>
          <w:tcPr>
            <w:tcW w:w="5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Other comprehensive income (loss), net of tax</w:t>
            </w:r>
          </w:p>
        </w:tc>
        <w:tc>
          <w:tcPr>
            <w:tcW w:w="5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225.8</w:t>
            </w:r>
          </w:p>
        </w:tc>
        <w:tc>
          <w:tcPr>
            <w:tcW w:w="2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420" w:type="dxa"/>
            <w:vAlign w:val="bottom"/>
            <w:tcBorders>
              <w:right w:val="single" w:sz="8" w:color="E1E1E1"/>
            </w:tcBorders>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(77.8)</w:t>
            </w:r>
          </w:p>
        </w:tc>
        <w:tc>
          <w:tcPr>
            <w:tcW w:w="18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29.6</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56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0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7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(118.7)</w:t>
            </w:r>
          </w:p>
        </w:tc>
        <w:tc>
          <w:tcPr>
            <w:tcW w:w="1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(344.5)</w:t>
            </w:r>
          </w:p>
        </w:tc>
        <w:tc>
          <w:tcPr>
            <w:tcW w:w="3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(266.7)</w:t>
            </w:r>
          </w:p>
        </w:tc>
        <w:tc>
          <w:tcPr>
            <w:tcW w:w="0" w:type="dxa"/>
            <w:vAlign w:val="bottom"/>
          </w:tcPr>
          <w:p>
            <w:pPr>
              <w:spacing w:after="0"/>
              <w:rPr>
                <w:sz w:val="1"/>
                <w:szCs w:val="1"/>
                <w:color w:val="auto"/>
              </w:rPr>
            </w:pPr>
          </w:p>
        </w:tc>
      </w:tr>
      <w:tr>
        <w:trPr>
          <w:trHeight w:val="239"/>
        </w:trPr>
        <w:tc>
          <w:tcPr>
            <w:tcW w:w="57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Treasury stock, at cost:</w:t>
            </w:r>
          </w:p>
        </w:tc>
        <w:tc>
          <w:tcPr>
            <w:tcW w:w="56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tcBorders>
            <w:shd w:val="clear" w:color="auto" w:fill="E1E1E1"/>
          </w:tcPr>
          <w:p>
            <w:pPr>
              <w:spacing w:after="0"/>
              <w:rPr>
                <w:sz w:val="20"/>
                <w:szCs w:val="20"/>
                <w:color w:val="auto"/>
              </w:rPr>
            </w:pPr>
          </w:p>
        </w:tc>
        <w:tc>
          <w:tcPr>
            <w:tcW w:w="1080" w:type="dxa"/>
            <w:vAlign w:val="bottom"/>
            <w:tcBorders>
              <w:top w:val="single" w:sz="8" w:color="1E1E1E"/>
            </w:tcBorders>
            <w:shd w:val="clear" w:color="auto" w:fill="E1E1E1"/>
          </w:tcPr>
          <w:p>
            <w:pPr>
              <w:spacing w:after="0"/>
              <w:rPr>
                <w:sz w:val="20"/>
                <w:szCs w:val="20"/>
                <w:color w:val="auto"/>
              </w:rPr>
            </w:pPr>
          </w:p>
        </w:tc>
        <w:tc>
          <w:tcPr>
            <w:tcW w:w="20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tcBorders>
            <w:shd w:val="clear" w:color="auto" w:fill="E1E1E1"/>
          </w:tcPr>
          <w:p>
            <w:pPr>
              <w:spacing w:after="0"/>
              <w:rPr>
                <w:sz w:val="20"/>
                <w:szCs w:val="20"/>
                <w:color w:val="auto"/>
              </w:rPr>
            </w:pPr>
          </w:p>
        </w:tc>
        <w:tc>
          <w:tcPr>
            <w:tcW w:w="1100" w:type="dxa"/>
            <w:vAlign w:val="bottom"/>
            <w:tcBorders>
              <w:top w:val="single" w:sz="8" w:color="1E1E1E"/>
            </w:tcBorders>
            <w:shd w:val="clear" w:color="auto" w:fill="E1E1E1"/>
          </w:tcPr>
          <w:p>
            <w:pPr>
              <w:spacing w:after="0"/>
              <w:rPr>
                <w:sz w:val="20"/>
                <w:szCs w:val="20"/>
                <w:color w:val="auto"/>
              </w:rPr>
            </w:pPr>
          </w:p>
        </w:tc>
        <w:tc>
          <w:tcPr>
            <w:tcW w:w="320" w:type="dxa"/>
            <w:vAlign w:val="bottom"/>
            <w:tcBorders>
              <w:top w:val="single" w:sz="8" w:color="E1E1E1"/>
              <w:right w:val="single" w:sz="8" w:color="E1E1E1"/>
            </w:tcBorders>
            <w:shd w:val="clear" w:color="auto" w:fill="E1E1E1"/>
          </w:tcPr>
          <w:p>
            <w:pPr>
              <w:spacing w:after="0"/>
              <w:rPr>
                <w:sz w:val="20"/>
                <w:szCs w:val="20"/>
                <w:color w:val="auto"/>
              </w:rPr>
            </w:pPr>
          </w:p>
        </w:tc>
        <w:tc>
          <w:tcPr>
            <w:tcW w:w="180" w:type="dxa"/>
            <w:vAlign w:val="bottom"/>
            <w:tcBorders>
              <w:top w:val="single" w:sz="8" w:color="1E1E1E"/>
            </w:tcBorders>
            <w:shd w:val="clear" w:color="auto" w:fill="E1E1E1"/>
          </w:tcPr>
          <w:p>
            <w:pPr>
              <w:spacing w:after="0"/>
              <w:rPr>
                <w:sz w:val="20"/>
                <w:szCs w:val="20"/>
                <w:color w:val="auto"/>
              </w:rPr>
            </w:pPr>
          </w:p>
        </w:tc>
        <w:tc>
          <w:tcPr>
            <w:tcW w:w="1100" w:type="dxa"/>
            <w:vAlign w:val="bottom"/>
            <w:tcBorders>
              <w:top w:val="single" w:sz="8" w:color="1E1E1E"/>
            </w:tcBorders>
            <w:shd w:val="clear" w:color="auto" w:fill="E1E1E1"/>
          </w:tcPr>
          <w:p>
            <w:pPr>
              <w:spacing w:after="0"/>
              <w:rPr>
                <w:sz w:val="20"/>
                <w:szCs w:val="20"/>
                <w:color w:val="auto"/>
              </w:rPr>
            </w:pP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5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(303.6)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(301.7)</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(292.6)</w:t>
            </w:r>
          </w:p>
        </w:tc>
        <w:tc>
          <w:tcPr>
            <w:tcW w:w="0" w:type="dxa"/>
            <w:vAlign w:val="bottom"/>
          </w:tcPr>
          <w:p>
            <w:pPr>
              <w:spacing w:after="0"/>
              <w:rPr>
                <w:sz w:val="1"/>
                <w:szCs w:val="1"/>
                <w:color w:val="auto"/>
              </w:rPr>
            </w:pPr>
          </w:p>
        </w:tc>
      </w:tr>
      <w:tr>
        <w:trPr>
          <w:trHeight w:val="244"/>
        </w:trPr>
        <w:tc>
          <w:tcPr>
            <w:tcW w:w="5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Net shares surrendered under equity-based compensation plans</w:t>
            </w:r>
          </w:p>
        </w:tc>
        <w:tc>
          <w:tcPr>
            <w:tcW w:w="5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28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(31.3)</w:t>
            </w:r>
          </w:p>
        </w:tc>
        <w:tc>
          <w:tcPr>
            <w:tcW w:w="12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420" w:type="dxa"/>
            <w:vAlign w:val="bottom"/>
            <w:tcBorders>
              <w:right w:val="single" w:sz="8" w:color="E1E1E1"/>
            </w:tcBorders>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(1.9)</w:t>
            </w:r>
          </w:p>
        </w:tc>
        <w:tc>
          <w:tcPr>
            <w:tcW w:w="180" w:type="dxa"/>
            <w:vAlign w:val="bottom"/>
            <w:shd w:val="clear" w:color="auto" w:fill="E1E1E1"/>
          </w:tcPr>
          <w:p>
            <w:pPr>
              <w:spacing w:after="0"/>
              <w:rPr>
                <w:sz w:val="21"/>
                <w:szCs w:val="21"/>
                <w:color w:val="auto"/>
              </w:rPr>
            </w:pPr>
          </w:p>
        </w:tc>
        <w:tc>
          <w:tcPr>
            <w:tcW w:w="11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(9.1)</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56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0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7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(334.9)</w:t>
            </w:r>
          </w:p>
        </w:tc>
        <w:tc>
          <w:tcPr>
            <w:tcW w:w="1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(303.6)</w:t>
            </w:r>
          </w:p>
        </w:tc>
        <w:tc>
          <w:tcPr>
            <w:tcW w:w="3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(301.7)</w:t>
            </w: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stockholders' deficit</w:t>
            </w:r>
          </w:p>
        </w:tc>
        <w:tc>
          <w:tcPr>
            <w:tcW w:w="560" w:type="dxa"/>
            <w:vAlign w:val="bottom"/>
            <w:shd w:val="clear" w:color="auto" w:fill="E1E1E1"/>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0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320" w:type="dxa"/>
            <w:vAlign w:val="bottom"/>
            <w:tcBorders>
              <w:right w:val="single" w:sz="8" w:color="E1E1E1"/>
            </w:tcBorders>
            <w:vMerge w:val="restart"/>
            <w:shd w:val="clear" w:color="auto" w:fill="E1E1E1"/>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700" w:type="dxa"/>
            <w:vAlign w:val="bottom"/>
            <w:vMerge w:val="continue"/>
            <w:shd w:val="clear" w:color="auto" w:fill="E1E1E1"/>
          </w:tcPr>
          <w:p>
            <w:pPr>
              <w:spacing w:after="0"/>
              <w:rPr>
                <w:sz w:val="20"/>
                <w:szCs w:val="20"/>
                <w:color w:val="auto"/>
              </w:rPr>
            </w:pPr>
          </w:p>
        </w:tc>
        <w:tc>
          <w:tcPr>
            <w:tcW w:w="560" w:type="dxa"/>
            <w:vAlign w:val="bottom"/>
            <w:shd w:val="clear" w:color="auto" w:fill="E1E1E1"/>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(1,004.1)</w:t>
            </w:r>
          </w:p>
        </w:tc>
        <w:tc>
          <w:tcPr>
            <w:tcW w:w="120" w:type="dxa"/>
            <w:vAlign w:val="bottom"/>
            <w:vMerge w:val="continue"/>
          </w:tcPr>
          <w:p>
            <w:pPr>
              <w:spacing w:after="0"/>
              <w:rPr>
                <w:sz w:val="20"/>
                <w:szCs w:val="20"/>
                <w:color w:val="auto"/>
              </w:rPr>
            </w:pP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(3,456.1)</w:t>
            </w:r>
          </w:p>
        </w:tc>
        <w:tc>
          <w:tcPr>
            <w:tcW w:w="320" w:type="dxa"/>
            <w:vAlign w:val="bottom"/>
            <w:tcBorders>
              <w:right w:val="single" w:sz="8" w:color="E1E1E1"/>
            </w:tcBorders>
            <w:vMerge w:val="continue"/>
            <w:shd w:val="clear" w:color="auto" w:fill="E1E1E1"/>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(3,024.7)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-192405</wp:posOffset>
            </wp:positionV>
            <wp:extent cx="1011555" cy="164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extLst>
                    </a:blip>
                    <a:srcRect/>
                    <a:stretch>
                      <a:fillRect/>
                    </a:stretch>
                  </pic:blipFill>
                  <pic:spPr bwMode="auto">
                    <a:xfrm>
                      <a:off x="0" y="0"/>
                      <a:ext cx="1011555" cy="16446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-182880</wp:posOffset>
            </wp:positionV>
            <wp:extent cx="810895" cy="154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extLst>
                    </a:blip>
                    <a:srcRect/>
                    <a:stretch>
                      <a:fillRect/>
                    </a:stretch>
                  </pic:blipFill>
                  <pic:spPr bwMode="auto">
                    <a:xfrm>
                      <a:off x="0" y="0"/>
                      <a:ext cx="810895" cy="154940"/>
                    </a:xfrm>
                    <a:prstGeom prst="rect">
                      <a:avLst/>
                    </a:prstGeom>
                    <a:noFill/>
                  </pic:spPr>
                </pic:pic>
              </a:graphicData>
            </a:graphic>
          </wp:anchor>
        </w:drawing>
      </w: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ectPr>
          <w:pgSz w:w="11880" w:h="15480" w:orient="portrait"/>
          <w:cols w:equalWidth="0" w:num="1">
            <w:col w:w="10800"/>
          </w:cols>
          <w:pgMar w:left="540" w:top="12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63</w:t>
      </w:r>
    </w:p>
    <w:p>
      <w:pPr>
        <w:sectPr>
          <w:pgSz w:w="11880" w:h="15480" w:orient="portrait"/>
          <w:cols w:equalWidth="0" w:num="1">
            <w:col w:w="10800"/>
          </w:cols>
          <w:pgMar w:left="540" w:top="1249" w:right="54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00" w:lineRule="exact"/>
        <w:rPr>
          <w:sz w:val="20"/>
          <w:szCs w:val="20"/>
          <w:color w:val="auto"/>
        </w:rPr>
      </w:pPr>
    </w:p>
    <w:p>
      <w:pPr>
        <w:spacing w:after="0" w:line="390" w:lineRule="exact"/>
        <w:rPr>
          <w:sz w:val="20"/>
          <w:szCs w:val="20"/>
          <w:color w:val="auto"/>
        </w:rPr>
      </w:pPr>
    </w:p>
    <w:p>
      <w:pPr>
        <w:ind w:left="360" w:hanging="360"/>
        <w:spacing w:after="0"/>
        <w:tabs>
          <w:tab w:leader="none" w:pos="360" w:val="left"/>
        </w:tabs>
        <w:numPr>
          <w:ilvl w:val="0"/>
          <w:numId w:val="4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BACKGROUND AND DESCRIPTION OF THE BUSINESS</w:t>
      </w:r>
    </w:p>
    <w:p>
      <w:pPr>
        <w:spacing w:after="0" w:line="12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1E1E1E"/>
        </w:rPr>
        <w:t>Effective January 14, 2026, the Company changed its legal name from CommScope Holding Company, Inc. to Vistance Networks, Inc. Vistance Networks, Inc., along with its direct and indirect subsidiaries (the Company), is a global provider of infrastructure solutions for communication, data center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The Company is a leader in digital video and IP television (IPTV) distribution systems, broadband access infrastructure platforms and equipment that delivers data and voice networks to homes. The Company’s global leadership position is built upon innovative technology, broad solution offerings, high-quality and cost-effective customer solutions, and global manufacturing and distribution scale.</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1E1E1E"/>
        </w:rPr>
        <w:t>During the years ended December 31, 2023, 2024 and 2025, the Company executed several strategic transactions that are further described in Note 3 and Note 4 of these consolidated financial statements. These transactions included the acquisition of certain assets of Casa Systems, Inc. (Casa), as well as multiple divestitures, including the Home business, the Outdoor Wireless Networks (OWN) segment, the Distributed Antenna Systems (DAS) business unit, the OneCell business, and the Connectivity and Cable Solutions (CCS) segment. Several of these divestitures met the criteria for discontinued operations under Accounting Standard Codification</w:t>
      </w:r>
    </w:p>
    <w:p>
      <w:pPr>
        <w:spacing w:after="0" w:line="5"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1E1E1E"/>
        </w:rPr>
        <w:t>(ASC) 205</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 xml:space="preserve">20, </w:t>
      </w:r>
      <w:r>
        <w:rPr>
          <w:rFonts w:ascii="Times New Roman" w:cs="Times New Roman" w:eastAsia="Times New Roman" w:hAnsi="Times New Roman"/>
          <w:sz w:val="20"/>
          <w:szCs w:val="20"/>
          <w:i w:val="1"/>
          <w:iCs w:val="1"/>
          <w:color w:val="1E1E1E"/>
        </w:rPr>
        <w:t>Presentation of Financial Statements—Discontinued Operations</w:t>
      </w:r>
      <w:r>
        <w:rPr>
          <w:rFonts w:ascii="Times New Roman" w:cs="Times New Roman" w:eastAsia="Times New Roman" w:hAnsi="Times New Roman"/>
          <w:sz w:val="20"/>
          <w:szCs w:val="20"/>
          <w:color w:val="1E1E1E"/>
        </w:rPr>
        <w:t xml:space="preserve"> and "held for sale" classification under ASC 360-10,</w:t>
      </w:r>
    </w:p>
    <w:p>
      <w:pPr>
        <w:spacing w:after="0" w:line="15"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i w:val="1"/>
          <w:iCs w:val="1"/>
          <w:color w:val="1E1E1E"/>
        </w:rPr>
        <w:t xml:space="preserve">Impairment and Disposal of Long Lived Assets. </w:t>
      </w:r>
      <w:r>
        <w:rPr>
          <w:rFonts w:ascii="Times New Roman" w:cs="Times New Roman" w:eastAsia="Times New Roman" w:hAnsi="Times New Roman"/>
          <w:sz w:val="20"/>
          <w:szCs w:val="20"/>
          <w:color w:val="1E1E1E"/>
        </w:rPr>
        <w:t>Detailed financial information, gain or loss recognition, held for sale measurements,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and the related balance sheet, statement of operations, and statement of cash flow impacts are included within those notes.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Segment Renaming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Effective April 1, 2025, following the divestiture of the DAS business unit, the Company renamed its Networking, Intelligent Cellular</w:t>
      </w:r>
    </w:p>
    <w:p>
      <w:pPr>
        <w:ind w:right="120"/>
        <w:spacing w:after="0" w:line="259" w:lineRule="auto"/>
        <w:tabs>
          <w:tab w:leader="none" w:pos="206" w:val="left"/>
        </w:tabs>
        <w:numPr>
          <w:ilvl w:val="0"/>
          <w:numId w:val="4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Security Solutions (NICS) segment to RUCKUS. The name change did not impact the Company’s operating or reportable segment structure, chief operating decision maker (CODM) reporting or historical segment results. Historical activities occurring prior to the effective date are referenced under the former NICS name.</w:t>
      </w:r>
    </w:p>
    <w:p>
      <w:pPr>
        <w:spacing w:after="0" w:line="18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1E1E1E"/>
        </w:rPr>
        <w:t>In connection with the divestiture of the CCS segment, and effective upon the closing of that transaction on January 9, 2026, the Company renamed its Access Network Solutions (ANS) segment to Aurora Networks (Aurora). The name change did not impact the Company’s operating or reportable segment structure, CODM reporting or historical segment results. Historical activities occurring prior to the effective date are referenced under the former ANS name.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Operating Segment Realignments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better align product oversight with how the business is managed:</w:t>
      </w:r>
    </w:p>
    <w:p>
      <w:pPr>
        <w:spacing w:after="0" w:line="134" w:lineRule="exact"/>
        <w:rPr>
          <w:sz w:val="20"/>
          <w:szCs w:val="20"/>
          <w:color w:val="auto"/>
        </w:rPr>
      </w:pPr>
    </w:p>
    <w:p>
      <w:pPr>
        <w:ind w:left="980" w:hanging="490"/>
        <w:spacing w:after="0" w:line="278" w:lineRule="auto"/>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Effective January 1, 2025, a product line was transferred from the RUCKUS (formerly NICS) segment to the Aurora (formerly ANS) segment.</w:t>
      </w:r>
    </w:p>
    <w:p>
      <w:pPr>
        <w:spacing w:after="0" w:line="60" w:lineRule="exact"/>
        <w:rPr>
          <w:rFonts w:ascii="Arial" w:cs="Arial" w:eastAsia="Arial" w:hAnsi="Arial"/>
          <w:sz w:val="20"/>
          <w:szCs w:val="20"/>
          <w:color w:val="1E1E1E"/>
        </w:rPr>
      </w:pPr>
    </w:p>
    <w:p>
      <w:pPr>
        <w:ind w:left="980" w:hanging="490"/>
        <w:spacing w:after="0" w:line="278" w:lineRule="auto"/>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Effective January 1, 2024, certain product lines were transferred from the CCS segment (which became a discontinued operation in the fourth quarter of 2025) to the Aurora (formerly ANS) segment.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All prior periods presented have been recast to reflect these organizational changes.</w:t>
      </w:r>
    </w:p>
    <w:p>
      <w:pPr>
        <w:spacing w:after="0" w:line="2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1E1E1E"/>
        </w:rPr>
        <w:t>The discussions in these consolidated financial statements relate solely to the Company's continuing operations, unless otherwise noted. As a result, the Company is reporting financial performance based on the following remaining reportable segments: RUCKUS and Aurora. For further discussion of the discontinued operations related to the CCS segment, OWN segment, DAS business unit and Home business, see Note 4 in these consolidated financial statements.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64</w:t>
      </w:r>
    </w:p>
    <w:p>
      <w:pPr>
        <w:sectPr>
          <w:pgSz w:w="11880" w:h="15480" w:orient="portrait"/>
          <w:cols w:equalWidth="0" w:num="1">
            <w:col w:w="10800"/>
          </w:cols>
          <w:pgMar w:left="540" w:top="515" w:right="54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ind w:right="5220"/>
        <w:spacing w:after="0" w:line="366" w:lineRule="auto"/>
        <w:tabs>
          <w:tab w:leader="none" w:pos="350" w:val="left"/>
        </w:tabs>
        <w:numPr>
          <w:ilvl w:val="0"/>
          <w:numId w:val="4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SUMMARY OF SIGNIFICANT ACCOUNTING POLICIES Basis of Consolidation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accompanying consolidated financial statements include Vistance Networks, Inc., along with its direct and indirect subsidiaries.</w:t>
      </w:r>
    </w:p>
    <w:p>
      <w:pPr>
        <w:spacing w:after="0"/>
        <w:rPr>
          <w:sz w:val="20"/>
          <w:szCs w:val="20"/>
          <w:color w:val="auto"/>
        </w:rPr>
      </w:pPr>
      <w:r>
        <w:rPr>
          <w:rFonts w:ascii="Times New Roman" w:cs="Times New Roman" w:eastAsia="Times New Roman" w:hAnsi="Times New Roman"/>
          <w:sz w:val="20"/>
          <w:szCs w:val="20"/>
          <w:color w:val="1E1E1E"/>
        </w:rPr>
        <w:t>All intercompany accounts and transactions are eliminated in consolidation.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Certain prior year amounts have been reclassified to conform to the current year presentation.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Use of Estimates in the Preparation of the Financial Statements</w:t>
      </w:r>
    </w:p>
    <w:p>
      <w:pPr>
        <w:spacing w:after="0" w:line="12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1E1E1E"/>
        </w:rPr>
        <w:t>The preparation of the accompanying consolidated financial statements in conformity with accounting principles generally accepted in the United States (U.S.) requires management to make estimates and assumptions that affect the amounts reported in the financial statements and accompanying notes. These estimates and their underlying assumptions form the basis for making judgments about the carrying values of assets and liabilities that are not readily apparent from other objective sources. The Company bases its estimates on historical experience and on assumptions that are believed to be reasonable under the circumstances and revises its estimates, as appropriate, when events or changes in circumstances indicate that revisions may be necessary. Significant accounting estimates reflected in the Company’s financial statements include the allowance for doubtful accounts; reserves for sales returns, discounts, allowances, rebates and distributor price protection programs; inventory excess and obsolescence reserves; contingent liabilities; tax valuation allowances; liabilities for unrecognized tax benefits; impairment reviews for investments, property, plant and equipment, goodwill and other intangible assets; and pension and other postretirement benefit costs and liabilities. Although these estimates are based on management’s knowledge of and experience with past and current events and on management’s assumptions about future events, it is at least reasonably possible that they may ultimately differ materially from actual results.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Cash and Cash Equivalents</w:t>
      </w:r>
    </w:p>
    <w:p>
      <w:pPr>
        <w:spacing w:after="0" w:line="12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1E1E1E"/>
        </w:rPr>
        <w:t>Cash and cash equivalents represent deposits in banks and cash invested temporarily in various instruments that are highly liquid and have a maturity of three months or less at the time of purchase.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Accounts Receivable and Allowance for Doubtful Accounts</w:t>
      </w:r>
    </w:p>
    <w:p>
      <w:pPr>
        <w:spacing w:after="0" w:line="12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Trade accounts receivable and contract assets for unbilled receivables are stated at the amount owed by the customer, net of allowances for estimated doubtful accounts, discounts, returns and rebates. The Company measures the allowance for doubtful accounts using an expected credit loss model, which uses a lifetime expected loss allowance for all trade accounts receivable and contract assets. To measure the expected credit losses, trade accounts receivable and contract assets are grouped based on shared credit risk characteristics and the days past due based on the contractual terms of the receivable. Contract assets relate to unbilled work in progress and have substantially the same risk characteristics as trade accounts receivable for the same types of contracts. Therefore, the Company has concluded that the expected loss rates for trade accounts receivable are a reasonable approximation of the loss rates for the contract assets.</w:t>
      </w:r>
    </w:p>
    <w:p>
      <w:pPr>
        <w:spacing w:after="0" w:line="20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1E1E1E"/>
        </w:rPr>
        <w:t>In calculating an allowance for doubtful accounts, the Company uses its historical experience, external indicators and forward-looking information to calculate expected credit losses using an aging method. The Company assesses impairment of trade accounts receivable on a collective basis, as they possess shared credit risk characteristics which have been grouped based on the days past due.</w:t>
      </w:r>
    </w:p>
    <w:p>
      <w:pPr>
        <w:spacing w:after="0" w:line="185"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1E1E1E"/>
        </w:rPr>
        <w:t>The expected loss rates are based on the payment profiles of sales over the preceding thirty-six months and the corresponding historical credit losses experienced within this period. The historical loss rates are adjusted to reflect current and forward-looking information on macroeconomic factors affecting the ability of the customers to settle their trade accounts receivable. Accounts are written off against the allowance account when they are determined to be no longer collectible.</w:t>
      </w:r>
    </w:p>
    <w:p>
      <w:pPr>
        <w:spacing w:after="0" w:line="19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1E1E1E"/>
        </w:rPr>
        <w:t>The Company sells certain of its accounts receivable under customer-sponsored supplier financing agreements. Under these agreements, the Company is able to sell certain accounts receivable to a bank at a discount. The Company sold approximately $93 million and $90 million of trade accounts receivable under these programs during the years ended December 31, 2025 and 2024, respectively, and the cost of factoring such receivables was not material. The Company derecognizes the accounts receivable on the Consolidated Balance Sheets once sold to the bank, as it retains no interest in and has no servicing responsibilities for them once they have been sold. The cash received from the bank is classified within the operating activities section on the Consolidated Statements of Cash Flows.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65</w:t>
      </w:r>
    </w:p>
    <w:p>
      <w:pPr>
        <w:sectPr>
          <w:pgSz w:w="11880" w:h="15480" w:orient="portrait"/>
          <w:cols w:equalWidth="0" w:num="1">
            <w:col w:w="10800"/>
          </w:cols>
          <w:pgMar w:left="540" w:top="515" w:right="540" w:bottom="0" w:gutter="0" w:footer="0" w:header="0"/>
          <w:type w:val="continuous"/>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Inventories</w:t>
      </w:r>
    </w:p>
    <w:p>
      <w:pPr>
        <w:spacing w:after="0" w:line="12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1E1E1E"/>
        </w:rPr>
        <w:t>Inventories are stated at the lower of cost or net realizable value, with cost determined on a first-in, first-out (FIFO) basis. Costs such as idle facility expense, excessive scrap and re-handling costs are expensed as incurred. The Company maintains reserves to reduce the value of inventory to the lower of cost or net realizable value, including reserves for excess and obsolete inventory.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Assets Held for Sale and Discontinued Operations</w:t>
      </w:r>
    </w:p>
    <w:p>
      <w:pPr>
        <w:spacing w:after="0" w:line="1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 xml:space="preserve">The Company reports the results of operations of a business as discontinued operations if a disposal represents a strategic shift that has or will have a major effect on the Company’s operations and financial results when the business is sold, in accordance with the criteria of ASC Topic 205-20, </w:t>
      </w:r>
      <w:r>
        <w:rPr>
          <w:rFonts w:ascii="Times New Roman" w:cs="Times New Roman" w:eastAsia="Times New Roman" w:hAnsi="Times New Roman"/>
          <w:sz w:val="20"/>
          <w:szCs w:val="20"/>
          <w:i w:val="1"/>
          <w:iCs w:val="1"/>
          <w:color w:val="1E1E1E"/>
        </w:rPr>
        <w:t>Presentation of Financial Statements—Discontinued Operations</w:t>
      </w:r>
      <w:r>
        <w:rPr>
          <w:rFonts w:ascii="Times New Roman" w:cs="Times New Roman" w:eastAsia="Times New Roman" w:hAnsi="Times New Roman"/>
          <w:sz w:val="20"/>
          <w:szCs w:val="20"/>
          <w:color w:val="1E1E1E"/>
        </w:rPr>
        <w:t xml:space="preserve"> (ASC 205-20), and classified as “held for sale”, in accordance with ASC Topic 360-10, </w:t>
      </w:r>
      <w:r>
        <w:rPr>
          <w:rFonts w:ascii="Times New Roman" w:cs="Times New Roman" w:eastAsia="Times New Roman" w:hAnsi="Times New Roman"/>
          <w:sz w:val="20"/>
          <w:szCs w:val="20"/>
          <w:i w:val="1"/>
          <w:iCs w:val="1"/>
          <w:color w:val="1E1E1E"/>
        </w:rPr>
        <w:t>Impairment and Disposal of Long Lived Assets</w:t>
      </w:r>
      <w:r>
        <w:rPr>
          <w:rFonts w:ascii="Times New Roman" w:cs="Times New Roman" w:eastAsia="Times New Roman" w:hAnsi="Times New Roman"/>
          <w:sz w:val="20"/>
          <w:szCs w:val="20"/>
          <w:color w:val="1E1E1E"/>
        </w:rPr>
        <w:t xml:space="preserve"> (ASC 360-10). For assets (disposal group) held for sale, the disposal group as a whole is measured at the lower of its carrying amount or fair value less cost to sell after adjusting the individual assets of the disposal group, if necessary. The results of discontinued operations are reported in income (loss) from discontinued operations, net of income taxes in the accompanying Consolidated Statements of Operations for the current and prior periods and include any gain or loss recognized on classification as held for sale, or adjustment of the carrying amount or estimated fair value less cost to sell. If the carrying amount of the business exceeds its estimated fair value less cost to sell, a loss is recognized. Assets and liabilities related to a business classified as held for sale that qualifies as a discontinued operation are segregated in the current and prior periods on the Consolidated Balance Sheets. If a business is classified as held for sale after the balance sheet date but before the financial statements are issued or are available to be issued, the business continues to be classified as held and used in those financial statements when issued or when available to be issued.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Derivative Instruments and Hedging Activities</w:t>
      </w:r>
    </w:p>
    <w:p>
      <w:pPr>
        <w:spacing w:after="0" w:line="12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1E1E1E"/>
        </w:rPr>
        <w:t>The Company is exposed to risks resulting from adverse fluctuations in commodity prices and foreign currency exchange rates and, historically, interest rates. The Company’s risk management strategy includes the use of derivative financial instruments whenever management determines their use to be reasonable and practical. This strategy does not permit the use of derivative financial instruments for trading or speculation.</w:t>
      </w:r>
    </w:p>
    <w:p>
      <w:pPr>
        <w:spacing w:after="0" w:line="19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The Company periodically uses forward contracts to hedge a portion of its balance sheet foreign exchange re-measurement risk and to hedge certain planned foreign currency expenditures. Unrealized gains and losses resulting from these contracts are recognized in other income (expense), net and partially offset corresponding foreign exchange gains and losses on the balances and expenditures being hedged. These instruments are not designated as hedges for hedge accounting purposes and are marked to market each period through earnings.</w:t>
      </w:r>
    </w:p>
    <w:p>
      <w:pPr>
        <w:spacing w:after="0" w:line="19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0"/>
          <w:szCs w:val="20"/>
          <w:color w:val="1E1E1E"/>
        </w:rPr>
        <w:t>The Company has also utilized a hedging strategy to mitigate the interest rate risk from its variable rate debt, associated with its borrowings or debt issued, to fix a portion of the future interest cash flows by designating qualifying receive-variable and pay-fixed interest rate swaps as a cash flow hedge for accounting and financial reporting purposes. Hedge effectiveness was assessed each quarter, and for hedges that meet the effectiveness requirements, changes in fair value were recorded as a component of other comprehensive income (loss), net of tax, and reclassified to interest expense as interest payments were made on the Company’s variable rate debt. For cash flow hedges that are discontinued because the forecasted transaction is no longer probable, the related cumulative gain or loss recorded in accumulated other comprehensive income (loss) is immediately reclassified into earnings. As a result of the sale of the CCS segment that was completed subsequent to fiscal year end on January 9, 2026, the Company repaid, on the closing date of the sale, all outstanding variable rate debt. See Note 19 in these consolidated financial statements for further discussion of the sale of the CCS segment. The Company determined in the fourth quarter of 2025 that the forecasted interest cash flows were no longer probable of occurring. Accordingly, the Company discontinued cash flow hedge accounting for its interest rate swaps during the fourth quarter of 2025 and reclassified the net losses previously recorded in accumulated other comprehensive loss (AOCL), to interest expense, included in income (loss) from discontinued operations, net of income taxes on the Consolidated Statements of Operations. After discontinuation, all subsequent changes in the fair value of the interest rate swaps will be recognized directly in earnings.</w:t>
      </w:r>
    </w:p>
    <w:p>
      <w:pPr>
        <w:spacing w:after="0" w:line="212" w:lineRule="exact"/>
        <w:rPr>
          <w:sz w:val="20"/>
          <w:szCs w:val="20"/>
          <w:color w:val="auto"/>
        </w:rPr>
      </w:pPr>
    </w:p>
    <w:p>
      <w:pPr>
        <w:ind w:right="720"/>
        <w:spacing w:after="0" w:line="279" w:lineRule="auto"/>
        <w:rPr>
          <w:sz w:val="20"/>
          <w:szCs w:val="20"/>
          <w:color w:val="auto"/>
        </w:rPr>
      </w:pPr>
      <w:r>
        <w:rPr>
          <w:rFonts w:ascii="Times New Roman" w:cs="Times New Roman" w:eastAsia="Times New Roman" w:hAnsi="Times New Roman"/>
          <w:sz w:val="20"/>
          <w:szCs w:val="20"/>
          <w:color w:val="1E1E1E"/>
        </w:rPr>
        <w:t>The Company has elected and documented the use of the normal purchases and sales exception for normal purchase and sales contracts that meet the definition of a derivative financial instrument.</w:t>
      </w:r>
    </w:p>
    <w:p>
      <w:pPr>
        <w:sectPr>
          <w:pgSz w:w="11880" w:h="15480" w:orient="portrait"/>
          <w:cols w:equalWidth="0" w:num="1">
            <w:col w:w="10780"/>
          </w:cols>
          <w:pgMar w:left="540" w:top="51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66</w:t>
      </w:r>
    </w:p>
    <w:p>
      <w:pPr>
        <w:sectPr>
          <w:pgSz w:w="11880" w:h="15480" w:orient="portrait"/>
          <w:cols w:equalWidth="0" w:num="1">
            <w:col w:w="10780"/>
          </w:cols>
          <w:pgMar w:left="540" w:top="515" w:right="560" w:bottom="0"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Leases</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The Company determines if a contract is a lease or contains a lease at inception. Right of use assets related to operating type leases are reported in other noncurrent assets and the present value of remaining lease obligations is reported in accrued and other liabilities and other noncurrent liabilities on the Consolidated Balance Sheets. For the periods presented, the Company does not have any financing type leases.</w:t>
      </w:r>
    </w:p>
    <w:p>
      <w:pPr>
        <w:spacing w:after="0" w:line="19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1E1E1E"/>
        </w:rPr>
        <w:t>Operating lease liabilities are recognized based on the present value of the future minimum lease payments over the lease term at commencement date. The majority of the Company’s leases do not provide an implicit rate; therefore, the Company uses the incremental borrowing rates applicable to the economic environment and the duration of the lease, based on the information available at commencement date, in determining the present value of future payments. The right of use asset for operating leases is measured using the lease liability adjusted for the impact of lease payments made prior to commencement, lease incentives received, initial direct costs incurred and any asset impairments. Lease terms may include options to extend or terminate the lease when it is reasonably certain that the option will be exercised. Lease expense for minimum lease payments is recognized on a straight-line basis over the lease term.</w:t>
      </w:r>
    </w:p>
    <w:p>
      <w:pPr>
        <w:spacing w:after="0" w:line="202"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20"/>
          <w:szCs w:val="20"/>
          <w:color w:val="1E1E1E"/>
        </w:rPr>
        <w:t>The Company remeasures and reallocates the consideration in a lease when there is a modification of the lease that is not accounted for as a separate contract. The lease liability is remeasured when there is a change in the lease term or a change in the assessment of whether the Company will exercise a lease option. The Company assesses right of use assets for impairment in accordance with its long-lived asset impairment policy.</w:t>
      </w:r>
    </w:p>
    <w:p>
      <w:pPr>
        <w:spacing w:after="0" w:line="19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1E1E1E"/>
        </w:rPr>
        <w:t>The Company accounts for lease agreements with contractually required lease and non-lease components on a combined basis. Lease payments made for cancellable leases, variable amounts that are not based on an observable index and lease agreements with an original duration of less than twelve months are recorded directly to lease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Property, Plant and Equipment</w:t>
      </w:r>
    </w:p>
    <w:p>
      <w:pPr>
        <w:spacing w:after="0" w:line="12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Property, plant and equipment are stated at cost. Upon application of acquisition accounting, property, plant and equipment are measured at estimated fair value as of the acquisition date to establish a new historical cost basis. Provisions for depreciation are based on estimated useful lives of the assets using the straight-line method. Useful lives generally range from 10 to 35 years for buildings and improvements and 3 to 10 years for machinery and equipment. Expenditures for repairs and maintenance are expensed as incurred. Assets that management intends to dispose of and that meet “held for sale” criteria are carried at the lower of the carrying value or fair value less costs to sell.</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Goodwill and Definite-Lived Intangible Assets</w:t>
      </w:r>
    </w:p>
    <w:p>
      <w:pPr>
        <w:spacing w:after="0" w:line="12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1E1E1E"/>
        </w:rPr>
        <w:t>The Company recognizes goodwill balances in conjunction with business combinations. Goodwill is assigned to reporting units based on the difference between the purchase price as allocated to the reporting units and the estimated fair value of the identified net assets acquired as allocated to the reporting units.</w:t>
      </w:r>
    </w:p>
    <w:p>
      <w:pPr>
        <w:spacing w:after="0" w:line="18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1E1E1E"/>
        </w:rPr>
        <w:t>The Company recognizes definite-lived intangible assets in connection with business combinations and separate asset purchases. In a business combination, intangibles assets are recorded at their respective fair values. For separate asset purchases, intangible assets are capitalized at cost. Subsequent to their acquisition, definite-lived intangible assets are carried at fair values or cost less accumulated amortization and any impairment charges. Amortization is recognized on a straight-line basis over the estimated useful lives of the respective assets, which approximates the pattern that the economic benefits are realized by the Company.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Asset Impairments</w:t>
      </w:r>
    </w:p>
    <w:p>
      <w:pPr>
        <w:spacing w:after="0" w:line="12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1E1E1E"/>
        </w:rPr>
        <w:t>Goodwill is tested for impairment annually or at other times if events have occurred or circumstances exist that indicate the carrying value of the reporting unit may exceed its fair value. Property, plant and equipment, definite-lived intangible assets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See Note 5 for discussion of asset impairment charges.</w:t>
      </w:r>
    </w:p>
    <w:p>
      <w:pPr>
        <w:sectPr>
          <w:pgSz w:w="11880" w:h="15480" w:orient="portrait"/>
          <w:cols w:equalWidth="0" w:num="1">
            <w:col w:w="10780"/>
          </w:cols>
          <w:pgMar w:left="540" w:top="515" w:right="56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67</w:t>
      </w:r>
    </w:p>
    <w:p>
      <w:pPr>
        <w:sectPr>
          <w:pgSz w:w="11880" w:h="15480" w:orient="portrait"/>
          <w:cols w:equalWidth="0" w:num="1">
            <w:col w:w="10780"/>
          </w:cols>
          <w:pgMar w:left="540" w:top="515" w:right="560" w:bottom="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Revenue Recognition</w:t>
      </w:r>
    </w:p>
    <w:p>
      <w:pPr>
        <w:spacing w:after="0" w:line="12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 xml:space="preserve">The Company recognizes revenue based on the satisfaction of distinct obligations to transfer goods and services to customers. The Company’s revenue is generated primarily from product or equipment sales. The Company also generates revenue from custom design and installation services as well as bundled sales arrangements that include product, software and services. The Company applies a five-step approach as defined in ASC 606, </w:t>
      </w:r>
      <w:r>
        <w:rPr>
          <w:rFonts w:ascii="Times New Roman" w:cs="Times New Roman" w:eastAsia="Times New Roman" w:hAnsi="Times New Roman"/>
          <w:sz w:val="20"/>
          <w:szCs w:val="20"/>
          <w:i w:val="1"/>
          <w:iCs w:val="1"/>
          <w:color w:val="1E1E1E"/>
        </w:rPr>
        <w:t>Revenue from Contracts with Customers,</w:t>
      </w:r>
      <w:r>
        <w:rPr>
          <w:rFonts w:ascii="Times New Roman" w:cs="Times New Roman" w:eastAsia="Times New Roman" w:hAnsi="Times New Roman"/>
          <w:sz w:val="20"/>
          <w:szCs w:val="20"/>
          <w:color w:val="1E1E1E"/>
        </w:rPr>
        <w:t xml:space="preserve"> in determining the amount and timing of revenue to be recognized: (1) identify the contract with a customer; (2) identify the performance obligations in the contract; (3) determine the transaction price; (4) allocate the transaction price to the performance obligations in the contract; and (5) recognize revenue when a corresponding performance obligation is satisfied. Most contracts with customers are to provide distinct products or services within a single contract. However, if a contract is separated into more than one performance obligation, the total transaction price is allocated to each performance obligation in an amount based on the estimated relative standalone selling price.</w:t>
      </w:r>
    </w:p>
    <w:p>
      <w:pPr>
        <w:spacing w:after="0" w:line="20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Product sales to end-customers or distributors represent over 90% of the Company’s revenue and are recognized at a point-in-time, which is generally at the point in time when products have been shipped, right to payment has been obtained and risk of loss has been transferred. Certain of the Company’s product performance obligations include proprietary operating system software, which typically is not considered separately identifiable. Therefore, sales of these products and the related software are considered one performance obligation.</w:t>
      </w:r>
    </w:p>
    <w:p>
      <w:pPr>
        <w:spacing w:after="0" w:line="19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1E1E1E"/>
        </w:rPr>
        <w:t>License contracts include revenue recognized for the licensing of intellectual property, including software, sold separately without products. Functional intellectual property licenses do not meet the criteria for revenue to be recognized over time, and revenue is most commonly recognized upon delivery of the license/software to the customer.</w:t>
      </w:r>
    </w:p>
    <w:p>
      <w:pPr>
        <w:spacing w:after="0" w:line="18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The Company has service arrangements where net sales are recognized over time. These arrangements include a variety of post-contract support service offerings, which are generally recognized over time as the services are provided, including the following: maintenance and support services provided under annual service-level agreements; “Day 2” professional services to help customers maximize their utilization of deployed systems; and installation services related to the routine installation of equipment ordered by the customer at the customer’s site.</w:t>
      </w:r>
    </w:p>
    <w:p>
      <w:pPr>
        <w:spacing w:after="0" w:line="19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Revenue is measured based on the consideration the Company expects to be entitled based on customer contracts. Sales are adjusted for variable consideration amounts, including, but not limited to, estimated discounts, rebates, distributor price protection programs and returns. These estimates are determined based upon historical experience, contract terms, inventory levels in the distributor channel and other related factors. Adjustments to variable consideration estimates are recorded when circumstances indicate revisions may be necessary. Variable consideration is primarily related to the Company’s sales to distributors, system integrators and value-added resellers.</w:t>
      </w:r>
    </w:p>
    <w:p>
      <w:pPr>
        <w:spacing w:after="0" w:line="200"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1E1E1E"/>
        </w:rPr>
        <w:t>A contract liability for deferred revenue is recorded when consideration is received or is unconditionally due from a customer prior to transferring control of goods or services to the customer under the terms of a contract. Deferred revenue balances typically result from advance payments received from customers from billings in excess of revenue recognized on services arrangements.</w:t>
      </w:r>
    </w:p>
    <w:p>
      <w:pPr>
        <w:spacing w:after="0" w:line="18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Unbilled receivables represent amounts earned for which the Company has an unconditional right to payment but has not yet invoiced the customer. When the Company’s right to consideration is conditional on future performance or other factors beyond the passage of time, these amounts are classified as contract assets and presented separately from trade accounts receivable in other receivables in the consolidated balance sheet and are converted to accounts receivable once the Company's right to the consideration becomes unconditional, which varies by contract but is generally based on achieving certain acceptance milestones.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Shipping and Handling Costs</w:t>
      </w:r>
    </w:p>
    <w:p>
      <w:pPr>
        <w:spacing w:after="0" w:line="1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The Company includes shipping and handling costs billed to customers in net sales and includes the costs incurred to transport product to customers as well as certain internal handling costs, which relate to activities to prepare goods for shipment, as cost of sales. Shipping and handling costs incurred after control is transferred to the customer are accounted for as fulfillment costs and are not accounted for as separate revenue obligations.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68</w:t>
      </w:r>
    </w:p>
    <w:p>
      <w:pPr>
        <w:sectPr>
          <w:pgSz w:w="11880" w:h="15480" w:orient="portrait"/>
          <w:cols w:equalWidth="0" w:num="1">
            <w:col w:w="10800"/>
          </w:cols>
          <w:pgMar w:left="540" w:top="515" w:right="540" w:bottom="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Tax Collected from Customers</w:t>
      </w:r>
    </w:p>
    <w:p>
      <w:pPr>
        <w:spacing w:after="0" w:line="123"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20"/>
          <w:szCs w:val="20"/>
          <w:color w:val="1E1E1E"/>
        </w:rPr>
        <w:t>Taxes assessed by a governmental authority that are both imposed on and concurrent with a specific revenue-producing transaction, which are collected by the Company from customers, are excluded from net sales.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Advertising Costs</w:t>
      </w:r>
    </w:p>
    <w:p>
      <w:pPr>
        <w:spacing w:after="0" w:line="1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1E1E1E"/>
        </w:rPr>
        <w:t>Advertising costs are expensed in the period in which they are incurred and are reflected in selling, general and administrative expense on the Consolidated Statements of Operations. Advertising expense was $13.7 million, $11.0 million and $10.4 million for the years ended December 31, 2025, 2024 and 2023, respectively.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Research and Development</w:t>
      </w:r>
    </w:p>
    <w:p>
      <w:pPr>
        <w:spacing w:after="0" w:line="12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1E1E1E"/>
        </w:rPr>
        <w:t>Research and development (R&amp;D) costs are expensed in the period in which they are incurred. R&amp;D costs include materials and equipment that have no alternative future use, depreciation on equipment and facilities currently used for R&amp;D purposes, personnel costs, contract services and reasonable allocations of indirect costs, if clearly related to an R&amp;D activity. Expenditures related to ongoing production are recorded in cost of sales.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Restructuring</w:t>
      </w:r>
    </w:p>
    <w:p>
      <w:pPr>
        <w:spacing w:after="0" w:line="12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1E1E1E"/>
        </w:rPr>
        <w:t>The Company records restructuring charges associated with management-approved restructuring plans, which could include the elimination of job functions, closure or relocation of facilities, reorganization of operations, changes in management structure, workforce reductions or other actions. Restructuring charges may include ongoing and enhanced termination benefits related to employee separations, contract termination costs, impairment of certain assets and other related costs associated with exit or disposal activities. Severance benefits are provided to employees primarily under the Company’s ongoing benefit arrangements. These severance costs are accrued once management commits to a plan of termination and it becomes probable that employees will be separated and entitled to benefits at amounts that can be reasonably estimated. In some instances, the Company enhances its ongoing termination benefits with one-time termination benefits, which are recognized when employees are notified of their enhanced termination benefits.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Foreign Currency Translation</w:t>
      </w:r>
    </w:p>
    <w:p>
      <w:pPr>
        <w:spacing w:after="0" w:line="12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1E1E1E"/>
        </w:rPr>
        <w:t>For the years ended December 31, 2025, 2024 and 2023, approximately 28.5%, 33.3% and 31.0%, respectively, of the Company’s net sales were to customers located outside the U.S. A portion of these sales was denominated in currencies other than the U.S. dollar, particularly sales from the Company’s foreign subsidiaries. The financial position and results of operations of certain of the Company’s foreign subsidiaries are measured using the local currency as the functional currency. Revenues and expenses of these subsidiaries have been translated into U.S. dollars at average exchange rates prevailing during the period. Assets and liabilities of these subsidiaries have been translated at the exchange rates as of the balance sheet date. Translation gains and losses are recorded in accumulated other comprehensive loss. Upon sale or liquidation of an investment in a foreign subsidiary, the amount of net translation gains or losses that have been accumulated in other comprehensive loss attributable to that investment are reported as a gain or loss in earnings in the period in which the sale or liquidation occurs.</w:t>
      </w:r>
    </w:p>
    <w:p>
      <w:pPr>
        <w:spacing w:after="0" w:line="20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Aggregate foreign currency gains and losses, such as those resulting from the settlement of receivables or payables, foreign currency contracts and short-term intercompany advances in a currency other than the subsidiary’s functional currency, are recorded currently in earnings (included in other income (expense), net) and resulted in gains (losses) of $(8.0) million, $6.2 million and $1.6 million during the years ended December 31, 2025, 2024 and 2023, respectively. Foreign currency remeasurement gains and losses related to certain long-term intercompany loans that are not expected to be settled in the foreseeable future are recorded in accumulated other comprehensive loss.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Equity-Based Compensation</w:t>
      </w:r>
    </w:p>
    <w:p>
      <w:pPr>
        <w:spacing w:after="0" w:line="123" w:lineRule="exact"/>
        <w:rPr>
          <w:sz w:val="20"/>
          <w:szCs w:val="20"/>
          <w:color w:val="auto"/>
        </w:rPr>
      </w:pPr>
    </w:p>
    <w:p>
      <w:pPr>
        <w:ind w:right="100"/>
        <w:spacing w:after="0" w:line="254" w:lineRule="exact"/>
        <w:rPr>
          <w:sz w:val="20"/>
          <w:szCs w:val="20"/>
          <w:color w:val="auto"/>
        </w:rPr>
      </w:pPr>
      <w:r>
        <w:rPr>
          <w:rFonts w:ascii="Times New Roman" w:cs="Times New Roman" w:eastAsia="Times New Roman" w:hAnsi="Times New Roman"/>
          <w:sz w:val="20"/>
          <w:szCs w:val="20"/>
          <w:color w:val="1E1E1E"/>
        </w:rPr>
        <w:t>The principal awards issued under the Company's equity-based compensation plans, which are described in Note 15 included in these consolidated financial statements, include restricted stock units (“RSUs”), stock options, and performance</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based awards, issued to employees and non</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employee directors under its equity incentive plans. The Company measures stock</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based compensation cost at the grant date fair value of the award.</w:t>
      </w:r>
    </w:p>
    <w:p>
      <w:pPr>
        <w:sectPr>
          <w:pgSz w:w="11880" w:h="15480" w:orient="portrait"/>
          <w:cols w:equalWidth="0" w:num="1">
            <w:col w:w="10780"/>
          </w:cols>
          <w:pgMar w:left="540" w:top="515" w:right="56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69</w:t>
      </w:r>
    </w:p>
    <w:p>
      <w:pPr>
        <w:sectPr>
          <w:pgSz w:w="11880" w:h="15480" w:orient="portrait"/>
          <w:cols w:equalWidth="0" w:num="1">
            <w:col w:w="10780"/>
          </w:cols>
          <w:pgMar w:left="540" w:top="515" w:right="56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48" w:lineRule="exact"/>
        <w:rPr>
          <w:sz w:val="20"/>
          <w:szCs w:val="20"/>
          <w:color w:val="auto"/>
        </w:rPr>
      </w:pPr>
    </w:p>
    <w:p>
      <w:pPr>
        <w:ind w:right="40"/>
        <w:spacing w:after="0" w:line="251" w:lineRule="exact"/>
        <w:rPr>
          <w:sz w:val="20"/>
          <w:szCs w:val="20"/>
          <w:color w:val="auto"/>
        </w:rPr>
      </w:pPr>
      <w:r>
        <w:rPr>
          <w:rFonts w:ascii="Times New Roman" w:cs="Times New Roman" w:eastAsia="Times New Roman" w:hAnsi="Times New Roman"/>
          <w:sz w:val="20"/>
          <w:szCs w:val="20"/>
          <w:color w:val="1E1E1E"/>
        </w:rPr>
        <w:t>Compensation expense for awards with service</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based vesting conditions is recognized on a straight</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line basis over the requisite service period. For performance</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based awards with non</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market performance conditions, compensation expense is recognized based on the Company’s assessment of the probability of achieving the specified performance conditions and is adjusted as necessary to reflect changes in that assessment. For performance</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based awards that include market performance conditions, compensation expense is recognized regardless of whether the market condition is satisfied, provided the requisite service is rendered. Stock</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based</w:t>
      </w:r>
    </w:p>
    <w:p>
      <w:pPr>
        <w:spacing w:after="0" w:line="4"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20"/>
          <w:szCs w:val="20"/>
          <w:color w:val="1E1E1E"/>
        </w:rPr>
        <w:t>compensation expense is recorded on the Consolidated Statements of Operations based on the functional classification of the related employees.</w:t>
      </w:r>
    </w:p>
    <w:p>
      <w:pPr>
        <w:spacing w:after="0" w:line="165"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1E1E1E"/>
        </w:rPr>
        <w:t>The Company records deferred tax assets related to compensation expense for awards that are expected to result in future tax deductions for the Company, based on the amount of compensation cost recognized and the Company’s statutory tax rate in the jurisdiction in which it expects to receive a deduction. Differences between the deferred tax assets recognized for financial reporting purposes and actual tax deductions reported on the Company’s income tax return are recorded on the Consolidated Statements of Operations within income tax expense benefit.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Income Taxes</w:t>
      </w:r>
    </w:p>
    <w:p>
      <w:pPr>
        <w:spacing w:after="0" w:line="123"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color w:val="1E1E1E"/>
        </w:rPr>
        <w:t>Deferred income taxes reflect the future tax consequences of differences between the financial reporting and tax basis of assets and liabilities. The Company records a valuation allowance, when appropriate, to reduce deferred tax assets to an amount that is more likely than not to be realized.</w:t>
      </w:r>
    </w:p>
    <w:p>
      <w:pPr>
        <w:spacing w:after="0" w:line="18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1E1E1E"/>
        </w:rPr>
        <w:t>Tax benefits that result from uncertain tax positions may be recognized only if they are considered more likely than not to be sustainable, based on their technical merits. The amount of benefit to be recognized is the largest amount of tax benefit that is at least 50% likely to be realized.</w:t>
      </w:r>
    </w:p>
    <w:p>
      <w:pPr>
        <w:spacing w:after="0" w:line="18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1E1E1E"/>
        </w:rPr>
        <w:t>In addition, the Company does not provide for U.S. taxes related to the foreign currency remeasurement gains and losses on its long-term intercompany loans with foreign subsidiaries. These loans are not expected to be repaid in the foreseeable future, and the foreign currency gains and losses are therefore recorded to accumulated other comprehensive loss.</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1E1E1E"/>
        </w:rPr>
        <w:t>The Company records the income tax effects related to the activity of its defined benefit plans and hedging instruments in accumulated other comprehensive loss at the currently enacted tax rate and reclassifies it to net income (loss) in the same period that the related pre-tax accumulated comprehensive income (loss) reclassifications are recognized.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Earnings (Loss) Per Share</w:t>
      </w:r>
    </w:p>
    <w:p>
      <w:pPr>
        <w:spacing w:after="0" w:line="12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Basic earnings (loss) per share (EPS) from continuing operations is computed by dividing income (loss) from continuing operations, less any dividends and deemed dividends related to the Convertible Preferred Stock, by the weighted average number of common shares outstanding during the period. The numerator in diluted EPS from continuing operations is based on the basic EPS from continuing operations numerator, adjusted to add back any dividends and deemed dividends related to the Convertible Preferred Stock, subject to antidilution requirements. The denominator used in diluted EPS from continuing operations is based on the basic EPS computation plus the effect of potentially dilutive common shares related to the Convertible Preferred Stock and equity-based compensation plans, subject to antidilution requirements.</w:t>
      </w:r>
    </w:p>
    <w:p>
      <w:pPr>
        <w:spacing w:after="0" w:line="20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For the years ended December 31, 2025, 2024 and 2023, 6.5 million, 18.3 million and 17.9 million shares, respectively, of outstanding equity-based compensation awards were not included in the computation of diluted EPS, because the effect was antidilutive or the performance conditions were not met. Of those amounts, for the years ended December 31, 2024 and 2023, 5.3 million and 1.5 million shares, respectively, would have been considered dilutive if the Company had not been in a net loss from continuing operations position.</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For the years ended December 31, 2025, 2024 and 2023, 45.6 million, 43.1 million and 40.8 million, respectively, of as-if converted shares related to the Convertible Preferred Stock were excluded from the diluted share count because they were anti-dilutive; however, for the years ended December 31, 2024 and 2023, they may have been considered dilutive if the Company had not been in a loss from continuing operations position.</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70</w:t>
      </w:r>
    </w:p>
    <w:p>
      <w:pPr>
        <w:sectPr>
          <w:pgSz w:w="11880" w:h="15480" w:orient="portrait"/>
          <w:cols w:equalWidth="0" w:num="1">
            <w:col w:w="10800"/>
          </w:cols>
          <w:pgMar w:left="540" w:top="515" w:right="540" w:bottom="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presents the basis for the EPS computations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660" w:type="dxa"/>
            <w:vAlign w:val="bottom"/>
            <w:tcBorders>
              <w:bottom w:val="single" w:sz="8" w:color="1E1E1E"/>
            </w:tcBorders>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80" w:type="dxa"/>
            <w:vAlign w:val="bottom"/>
            <w:tcBorders>
              <w:bottom w:val="single" w:sz="8" w:color="E1E1E1"/>
            </w:tcBorders>
          </w:tcPr>
          <w:p>
            <w:pPr>
              <w:spacing w:after="0"/>
              <w:rPr>
                <w:sz w:val="16"/>
                <w:szCs w:val="16"/>
                <w:color w:val="auto"/>
              </w:rPr>
            </w:pPr>
          </w:p>
        </w:tc>
        <w:tc>
          <w:tcPr>
            <w:tcW w:w="20" w:type="dxa"/>
            <w:vAlign w:val="bottom"/>
            <w:tcBorders>
              <w:bottom w:val="single" w:sz="8" w:color="E1E1E1"/>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20" w:type="dxa"/>
            <w:vAlign w:val="bottom"/>
            <w:tcBorders>
              <w:bottom w:val="single" w:sz="8" w:color="1E1E1E"/>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80" w:type="dxa"/>
            <w:vAlign w:val="bottom"/>
            <w:tcBorders>
              <w:bottom w:val="single" w:sz="8" w:color="E1E1E1"/>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820" w:type="dxa"/>
            <w:vAlign w:val="bottom"/>
            <w:tcBorders>
              <w:bottom w:val="single" w:sz="8" w:color="1E1E1E"/>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Borders>
              <w:bottom w:val="single" w:sz="8" w:color="E1E1E1"/>
            </w:tcBorders>
          </w:tcPr>
          <w:p>
            <w:pPr>
              <w:spacing w:after="0"/>
              <w:rPr>
                <w:sz w:val="16"/>
                <w:szCs w:val="16"/>
                <w:color w:val="auto"/>
              </w:rPr>
            </w:pPr>
          </w:p>
        </w:tc>
        <w:tc>
          <w:tcPr>
            <w:tcW w:w="100" w:type="dxa"/>
            <w:vAlign w:val="bottom"/>
            <w:tcBorders>
              <w:bottom w:val="single" w:sz="8" w:color="E1E1E1"/>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Numerator:</w:t>
            </w:r>
          </w:p>
        </w:tc>
        <w:tc>
          <w:tcPr>
            <w:tcW w:w="2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82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82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84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Income (loss) from continuing operations</w:t>
            </w:r>
          </w:p>
        </w:tc>
        <w:tc>
          <w:tcPr>
            <w:tcW w:w="20" w:type="dxa"/>
            <w:vAlign w:val="bottom"/>
          </w:tcPr>
          <w:p>
            <w:pPr>
              <w:spacing w:after="0"/>
              <w:rPr>
                <w:sz w:val="21"/>
                <w:szCs w:val="21"/>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324.3</w:t>
            </w:r>
          </w:p>
        </w:tc>
        <w:tc>
          <w:tcPr>
            <w:tcW w:w="28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(206.0)</w:t>
            </w:r>
          </w:p>
        </w:tc>
        <w:tc>
          <w:tcPr>
            <w:tcW w:w="10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(652.8)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shd w:val="clear" w:color="auto" w:fill="E1E1E1"/>
          </w:tcPr>
          <w:p>
            <w:pPr>
              <w:ind w:left="80"/>
              <w:spacing w:after="0"/>
              <w:rPr>
                <w:sz w:val="20"/>
                <w:szCs w:val="20"/>
                <w:color w:val="auto"/>
              </w:rPr>
            </w:pPr>
            <w:r>
              <w:rPr>
                <w:rFonts w:ascii="Times New Roman" w:cs="Times New Roman" w:eastAsia="Times New Roman" w:hAnsi="Times New Roman"/>
                <w:sz w:val="20"/>
                <w:szCs w:val="20"/>
                <w:color w:val="1E1E1E"/>
              </w:rPr>
              <w:t>Income (loss) from discontinued operations, net of tax</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1,959.4</w:t>
            </w:r>
          </w:p>
        </w:tc>
        <w:tc>
          <w:tcPr>
            <w:tcW w:w="2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(109.5)</w:t>
            </w:r>
          </w:p>
        </w:tc>
        <w:tc>
          <w:tcPr>
            <w:tcW w:w="10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9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1E1E1E"/>
              </w:rPr>
              <w:t>Net income (loss)</w:t>
            </w:r>
          </w:p>
        </w:tc>
        <w:tc>
          <w:tcPr>
            <w:tcW w:w="20" w:type="dxa"/>
            <w:vAlign w:val="bottom"/>
            <w:vMerge w:val="restart"/>
          </w:tcPr>
          <w:p>
            <w:pPr>
              <w:spacing w:after="0" w:line="20" w:lineRule="exact"/>
              <w:rPr>
                <w:sz w:val="1"/>
                <w:szCs w:val="1"/>
                <w:color w:val="auto"/>
              </w:rPr>
            </w:pPr>
          </w:p>
        </w:tc>
        <w:tc>
          <w:tcPr>
            <w:tcW w:w="200" w:type="dxa"/>
            <w:vAlign w:val="bottom"/>
            <w:shd w:val="clear" w:color="auto" w:fill="1E1E1E"/>
          </w:tcPr>
          <w:p>
            <w:pPr>
              <w:spacing w:after="0" w:line="20" w:lineRule="exact"/>
              <w:rPr>
                <w:sz w:val="1"/>
                <w:szCs w:val="1"/>
                <w:color w:val="auto"/>
              </w:rPr>
            </w:pPr>
          </w:p>
        </w:tc>
        <w:tc>
          <w:tcPr>
            <w:tcW w:w="820" w:type="dxa"/>
            <w:vAlign w:val="bottom"/>
            <w:shd w:val="clear" w:color="auto" w:fill="1E1E1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82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84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9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2,283.7</w:t>
            </w:r>
          </w:p>
        </w:tc>
        <w:tc>
          <w:tcPr>
            <w:tcW w:w="28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(315.5)</w:t>
            </w:r>
          </w:p>
        </w:tc>
        <w:tc>
          <w:tcPr>
            <w:tcW w:w="100" w:type="dxa"/>
            <w:vAlign w:val="bottom"/>
            <w:vMerge w:val="continue"/>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(1,506.8)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shd w:val="clear" w:color="auto" w:fill="E1E1E1"/>
          </w:tcPr>
          <w:p>
            <w:pPr>
              <w:ind w:left="80"/>
              <w:spacing w:after="0"/>
              <w:rPr>
                <w:sz w:val="20"/>
                <w:szCs w:val="20"/>
                <w:color w:val="auto"/>
              </w:rPr>
            </w:pPr>
            <w:r>
              <w:rPr>
                <w:rFonts w:ascii="Times New Roman" w:cs="Times New Roman" w:eastAsia="Times New Roman" w:hAnsi="Times New Roman"/>
                <w:sz w:val="20"/>
                <w:szCs w:val="20"/>
                <w:color w:val="1E1E1E"/>
              </w:rPr>
              <w:t>Dividends on Series A convertible preferred stock</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(68.9)</w:t>
            </w:r>
          </w:p>
        </w:tc>
        <w:tc>
          <w:tcPr>
            <w:tcW w:w="24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(65.2)</w:t>
            </w:r>
          </w:p>
        </w:tc>
        <w:tc>
          <w:tcPr>
            <w:tcW w:w="10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9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1E1E1E"/>
              </w:rPr>
              <w:t>Net income (loss) attributable to common stockholders</w:t>
            </w:r>
          </w:p>
        </w:tc>
        <w:tc>
          <w:tcPr>
            <w:tcW w:w="20" w:type="dxa"/>
            <w:vAlign w:val="bottom"/>
            <w:vMerge w:val="restart"/>
          </w:tcPr>
          <w:p>
            <w:pPr>
              <w:spacing w:after="0" w:line="20" w:lineRule="exact"/>
              <w:rPr>
                <w:sz w:val="1"/>
                <w:szCs w:val="1"/>
                <w:color w:val="auto"/>
              </w:rPr>
            </w:pPr>
          </w:p>
        </w:tc>
        <w:tc>
          <w:tcPr>
            <w:tcW w:w="200" w:type="dxa"/>
            <w:vAlign w:val="bottom"/>
            <w:shd w:val="clear" w:color="auto" w:fill="1E1E1E"/>
          </w:tcPr>
          <w:p>
            <w:pPr>
              <w:spacing w:after="0" w:line="20" w:lineRule="exact"/>
              <w:rPr>
                <w:sz w:val="1"/>
                <w:szCs w:val="1"/>
                <w:color w:val="auto"/>
              </w:rPr>
            </w:pPr>
          </w:p>
        </w:tc>
        <w:tc>
          <w:tcPr>
            <w:tcW w:w="820" w:type="dxa"/>
            <w:vAlign w:val="bottom"/>
            <w:shd w:val="clear" w:color="auto" w:fill="1E1E1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82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840" w:type="dxa"/>
            <w:vAlign w:val="bottom"/>
            <w:shd w:val="clear" w:color="auto" w:fill="1E1E1E"/>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2,214.</w:t>
            </w:r>
            <w:r>
              <w:rPr>
                <w:rFonts w:ascii="Times New Roman" w:cs="Times New Roman" w:eastAsia="Times New Roman" w:hAnsi="Times New Roman"/>
                <w:sz w:val="20"/>
                <w:szCs w:val="20"/>
                <w:u w:val="single" w:color="auto"/>
                <w:color w:val="1E1E1E"/>
              </w:rPr>
              <w:t>8</w:t>
            </w:r>
          </w:p>
        </w:tc>
        <w:tc>
          <w:tcPr>
            <w:tcW w:w="280" w:type="dxa"/>
            <w:vAlign w:val="bottom"/>
          </w:tcPr>
          <w:p>
            <w:pPr>
              <w:spacing w:after="0"/>
              <w:rPr>
                <w:sz w:val="24"/>
                <w:szCs w:val="24"/>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(380.7)</w:t>
            </w:r>
          </w:p>
        </w:tc>
        <w:tc>
          <w:tcPr>
            <w:tcW w:w="100" w:type="dxa"/>
            <w:vAlign w:val="bottom"/>
            <w:vMerge w:val="continue"/>
          </w:tcPr>
          <w:p>
            <w:pPr>
              <w:spacing w:after="0"/>
              <w:rPr>
                <w:sz w:val="24"/>
                <w:szCs w:val="24"/>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(1,568.6</w:t>
            </w: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980" w:type="dxa"/>
            <w:vAlign w:val="bottom"/>
            <w:tcBorders>
              <w:top w:val="single" w:sz="8" w:color="E1E1E1"/>
            </w:tcBorders>
            <w:shd w:val="clear" w:color="auto" w:fill="E1E1E1"/>
          </w:tcPr>
          <w:p>
            <w:pPr>
              <w:spacing w:after="0"/>
              <w:rPr>
                <w:sz w:val="19"/>
                <w:szCs w:val="19"/>
                <w:color w:val="auto"/>
              </w:rPr>
            </w:pPr>
          </w:p>
        </w:tc>
        <w:tc>
          <w:tcPr>
            <w:tcW w:w="20" w:type="dxa"/>
            <w:vAlign w:val="bottom"/>
            <w:tcBorders>
              <w:top w:val="single" w:sz="8" w:color="E1E1E1"/>
            </w:tcBorders>
            <w:shd w:val="clear" w:color="auto" w:fill="E1E1E1"/>
          </w:tcPr>
          <w:p>
            <w:pPr>
              <w:spacing w:after="0"/>
              <w:rPr>
                <w:sz w:val="19"/>
                <w:szCs w:val="19"/>
                <w:color w:val="auto"/>
              </w:rPr>
            </w:pPr>
          </w:p>
        </w:tc>
        <w:tc>
          <w:tcPr>
            <w:tcW w:w="200" w:type="dxa"/>
            <w:vAlign w:val="bottom"/>
            <w:tcBorders>
              <w:top w:val="single" w:sz="8" w:color="1E1E1E"/>
            </w:tcBorders>
            <w:shd w:val="clear" w:color="auto" w:fill="E1E1E1"/>
          </w:tcPr>
          <w:p>
            <w:pPr>
              <w:spacing w:after="0"/>
              <w:rPr>
                <w:sz w:val="19"/>
                <w:szCs w:val="19"/>
                <w:color w:val="auto"/>
              </w:rPr>
            </w:pPr>
          </w:p>
        </w:tc>
        <w:tc>
          <w:tcPr>
            <w:tcW w:w="820" w:type="dxa"/>
            <w:vAlign w:val="bottom"/>
            <w:tcBorders>
              <w:top w:val="single" w:sz="8" w:color="1E1E1E"/>
            </w:tcBorders>
            <w:shd w:val="clear" w:color="auto" w:fill="E1E1E1"/>
          </w:tcPr>
          <w:p>
            <w:pPr>
              <w:spacing w:after="0"/>
              <w:rPr>
                <w:sz w:val="19"/>
                <w:szCs w:val="19"/>
                <w:color w:val="auto"/>
              </w:rPr>
            </w:pPr>
          </w:p>
        </w:tc>
        <w:tc>
          <w:tcPr>
            <w:tcW w:w="280" w:type="dxa"/>
            <w:vAlign w:val="bottom"/>
            <w:tcBorders>
              <w:top w:val="single" w:sz="8" w:color="E1E1E1"/>
            </w:tcBorders>
            <w:shd w:val="clear" w:color="auto" w:fill="E1E1E1"/>
          </w:tcPr>
          <w:p>
            <w:pPr>
              <w:spacing w:after="0"/>
              <w:rPr>
                <w:sz w:val="19"/>
                <w:szCs w:val="19"/>
                <w:color w:val="auto"/>
              </w:rPr>
            </w:pPr>
          </w:p>
        </w:tc>
        <w:tc>
          <w:tcPr>
            <w:tcW w:w="240" w:type="dxa"/>
            <w:vAlign w:val="bottom"/>
            <w:tcBorders>
              <w:top w:val="single" w:sz="8" w:color="1E1E1E"/>
            </w:tcBorders>
            <w:shd w:val="clear" w:color="auto" w:fill="E1E1E1"/>
          </w:tcPr>
          <w:p>
            <w:pPr>
              <w:spacing w:after="0"/>
              <w:rPr>
                <w:sz w:val="19"/>
                <w:szCs w:val="19"/>
                <w:color w:val="auto"/>
              </w:rPr>
            </w:pPr>
          </w:p>
        </w:tc>
        <w:tc>
          <w:tcPr>
            <w:tcW w:w="820" w:type="dxa"/>
            <w:vAlign w:val="bottom"/>
            <w:tcBorders>
              <w:top w:val="single" w:sz="8" w:color="1E1E1E"/>
            </w:tcBorders>
            <w:shd w:val="clear" w:color="auto" w:fill="E1E1E1"/>
          </w:tcPr>
          <w:p>
            <w:pPr>
              <w:spacing w:after="0"/>
              <w:rPr>
                <w:sz w:val="19"/>
                <w:szCs w:val="19"/>
                <w:color w:val="auto"/>
              </w:rPr>
            </w:pPr>
          </w:p>
        </w:tc>
        <w:tc>
          <w:tcPr>
            <w:tcW w:w="180" w:type="dxa"/>
            <w:vAlign w:val="bottom"/>
            <w:tcBorders>
              <w:top w:val="single" w:sz="8" w:color="E1E1E1"/>
            </w:tcBorders>
            <w:shd w:val="clear" w:color="auto" w:fill="E1E1E1"/>
          </w:tcPr>
          <w:p>
            <w:pPr>
              <w:spacing w:after="0"/>
              <w:rPr>
                <w:sz w:val="19"/>
                <w:szCs w:val="19"/>
                <w:color w:val="auto"/>
              </w:rPr>
            </w:pPr>
          </w:p>
        </w:tc>
        <w:tc>
          <w:tcPr>
            <w:tcW w:w="100" w:type="dxa"/>
            <w:vAlign w:val="bottom"/>
            <w:tcBorders>
              <w:top w:val="single" w:sz="8" w:color="E1E1E1"/>
            </w:tcBorders>
            <w:shd w:val="clear" w:color="auto" w:fill="E1E1E1"/>
          </w:tcPr>
          <w:p>
            <w:pPr>
              <w:spacing w:after="0"/>
              <w:rPr>
                <w:sz w:val="19"/>
                <w:szCs w:val="19"/>
                <w:color w:val="auto"/>
              </w:rPr>
            </w:pPr>
          </w:p>
        </w:tc>
        <w:tc>
          <w:tcPr>
            <w:tcW w:w="220" w:type="dxa"/>
            <w:vAlign w:val="bottom"/>
            <w:tcBorders>
              <w:top w:val="single" w:sz="8" w:color="1E1E1E"/>
            </w:tcBorders>
            <w:shd w:val="clear" w:color="auto" w:fill="E1E1E1"/>
          </w:tcPr>
          <w:p>
            <w:pPr>
              <w:spacing w:after="0"/>
              <w:rPr>
                <w:sz w:val="19"/>
                <w:szCs w:val="19"/>
                <w:color w:val="auto"/>
              </w:rPr>
            </w:pPr>
          </w:p>
        </w:tc>
        <w:tc>
          <w:tcPr>
            <w:tcW w:w="840" w:type="dxa"/>
            <w:vAlign w:val="bottom"/>
            <w:tcBorders>
              <w:top w:val="single" w:sz="8" w:color="1E1E1E"/>
            </w:tcBorders>
            <w:shd w:val="clear" w:color="auto" w:fill="E1E1E1"/>
          </w:tcPr>
          <w:p>
            <w:pPr>
              <w:spacing w:after="0"/>
              <w:rPr>
                <w:sz w:val="19"/>
                <w:szCs w:val="19"/>
                <w:color w:val="auto"/>
              </w:rPr>
            </w:pPr>
          </w:p>
        </w:tc>
        <w:tc>
          <w:tcPr>
            <w:tcW w:w="80" w:type="dxa"/>
            <w:vAlign w:val="bottom"/>
            <w:tcBorders>
              <w:top w:val="single" w:sz="8" w:color="E1E1E1"/>
            </w:tcBorders>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20"/>
                <w:szCs w:val="20"/>
                <w:color w:val="1E1E1E"/>
              </w:rPr>
              <w:t>Denominator: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shd w:val="clear" w:color="auto" w:fill="E1E1E1"/>
          </w:tcPr>
          <w:p>
            <w:pPr>
              <w:ind w:left="80"/>
              <w:spacing w:after="0"/>
              <w:rPr>
                <w:sz w:val="20"/>
                <w:szCs w:val="20"/>
                <w:color w:val="auto"/>
              </w:rPr>
            </w:pPr>
            <w:r>
              <w:rPr>
                <w:rFonts w:ascii="Times New Roman" w:cs="Times New Roman" w:eastAsia="Times New Roman" w:hAnsi="Times New Roman"/>
                <w:sz w:val="20"/>
                <w:szCs w:val="20"/>
                <w:color w:val="1E1E1E"/>
              </w:rPr>
              <w:t>Weighted average common shares outstanding – basic</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219.5</w:t>
            </w:r>
          </w:p>
        </w:tc>
        <w:tc>
          <w:tcPr>
            <w:tcW w:w="2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214.4</w:t>
            </w:r>
          </w:p>
        </w:tc>
        <w:tc>
          <w:tcPr>
            <w:tcW w:w="1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210.9</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Dilutive effect of equity-based awards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shd w:val="clear" w:color="auto" w:fill="E1E1E1"/>
          </w:tcPr>
          <w:p>
            <w:pPr>
              <w:ind w:left="280"/>
              <w:spacing w:after="0"/>
              <w:rPr>
                <w:sz w:val="20"/>
                <w:szCs w:val="20"/>
                <w:color w:val="auto"/>
              </w:rPr>
            </w:pPr>
            <w:r>
              <w:rPr>
                <w:rFonts w:ascii="Times New Roman" w:cs="Times New Roman" w:eastAsia="Times New Roman" w:hAnsi="Times New Roman"/>
                <w:sz w:val="20"/>
                <w:szCs w:val="20"/>
                <w:color w:val="1E1E1E"/>
              </w:rPr>
              <w:t>Dilutive effect of as-if converted Series A convertible preferred stock</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00" w:type="dxa"/>
            <w:vAlign w:val="bottom"/>
            <w:gridSpan w:val="2"/>
            <w:shd w:val="clear" w:color="auto" w:fill="E1E1E1"/>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9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980" w:type="dxa"/>
            <w:vAlign w:val="bottom"/>
            <w:tcBorders>
              <w:bottom w:val="single" w:sz="8" w:color="E1E1E1"/>
            </w:tcBorders>
          </w:tcPr>
          <w:p>
            <w:pPr>
              <w:ind w:left="80"/>
              <w:spacing w:after="0"/>
              <w:rPr>
                <w:sz w:val="20"/>
                <w:szCs w:val="20"/>
                <w:color w:val="auto"/>
              </w:rPr>
            </w:pPr>
            <w:r>
              <w:rPr>
                <w:rFonts w:ascii="Times New Roman" w:cs="Times New Roman" w:eastAsia="Times New Roman" w:hAnsi="Times New Roman"/>
                <w:sz w:val="20"/>
                <w:szCs w:val="20"/>
                <w:color w:val="1E1E1E"/>
              </w:rPr>
              <w:t>Weighted average common shares outstanding – diluted</w:t>
            </w:r>
          </w:p>
        </w:tc>
        <w:tc>
          <w:tcPr>
            <w:tcW w:w="20" w:type="dxa"/>
            <w:vAlign w:val="bottom"/>
            <w:tcBorders>
              <w:bottom w:val="single" w:sz="8" w:color="E1E1E1"/>
            </w:tcBorders>
          </w:tcPr>
          <w:p>
            <w:pPr>
              <w:spacing w:after="0"/>
              <w:rPr>
                <w:sz w:val="24"/>
                <w:szCs w:val="24"/>
                <w:color w:val="auto"/>
              </w:rPr>
            </w:pPr>
          </w:p>
        </w:tc>
        <w:tc>
          <w:tcPr>
            <w:tcW w:w="200" w:type="dxa"/>
            <w:vAlign w:val="bottom"/>
            <w:tcBorders>
              <w:top w:val="single" w:sz="8" w:color="1E1E1E"/>
              <w:bottom w:val="single" w:sz="8" w:color="1E1E1E"/>
            </w:tcBorders>
          </w:tcPr>
          <w:p>
            <w:pPr>
              <w:spacing w:after="0"/>
              <w:rPr>
                <w:sz w:val="24"/>
                <w:szCs w:val="24"/>
                <w:color w:val="auto"/>
              </w:rPr>
            </w:pPr>
          </w:p>
        </w:tc>
        <w:tc>
          <w:tcPr>
            <w:tcW w:w="8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230.0</w:t>
            </w:r>
          </w:p>
        </w:tc>
        <w:tc>
          <w:tcPr>
            <w:tcW w:w="280" w:type="dxa"/>
            <w:vAlign w:val="bottom"/>
            <w:tcBorders>
              <w:bottom w:val="single" w:sz="8" w:color="E1E1E1"/>
            </w:tcBorders>
          </w:tcPr>
          <w:p>
            <w:pPr>
              <w:spacing w:after="0"/>
              <w:rPr>
                <w:sz w:val="24"/>
                <w:szCs w:val="24"/>
                <w:color w:val="auto"/>
              </w:rPr>
            </w:pPr>
          </w:p>
        </w:tc>
        <w:tc>
          <w:tcPr>
            <w:tcW w:w="240" w:type="dxa"/>
            <w:vAlign w:val="bottom"/>
            <w:tcBorders>
              <w:top w:val="single" w:sz="8" w:color="1E1E1E"/>
              <w:bottom w:val="single" w:sz="8" w:color="1E1E1E"/>
            </w:tcBorders>
          </w:tcPr>
          <w:p>
            <w:pPr>
              <w:spacing w:after="0"/>
              <w:rPr>
                <w:sz w:val="24"/>
                <w:szCs w:val="24"/>
                <w:color w:val="auto"/>
              </w:rPr>
            </w:pPr>
          </w:p>
        </w:tc>
        <w:tc>
          <w:tcPr>
            <w:tcW w:w="8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214.4</w:t>
            </w:r>
          </w:p>
        </w:tc>
        <w:tc>
          <w:tcPr>
            <w:tcW w:w="180" w:type="dxa"/>
            <w:vAlign w:val="bottom"/>
            <w:tcBorders>
              <w:bottom w:val="single" w:sz="8" w:color="E1E1E1"/>
            </w:tcBorders>
          </w:tcPr>
          <w:p>
            <w:pPr>
              <w:spacing w:after="0"/>
              <w:rPr>
                <w:sz w:val="24"/>
                <w:szCs w:val="24"/>
                <w:color w:val="auto"/>
              </w:rPr>
            </w:pPr>
          </w:p>
        </w:tc>
        <w:tc>
          <w:tcPr>
            <w:tcW w:w="100" w:type="dxa"/>
            <w:vAlign w:val="bottom"/>
            <w:tcBorders>
              <w:bottom w:val="single" w:sz="8" w:color="E1E1E1"/>
            </w:tcBorders>
          </w:tcPr>
          <w:p>
            <w:pPr>
              <w:spacing w:after="0"/>
              <w:rPr>
                <w:sz w:val="24"/>
                <w:szCs w:val="24"/>
                <w:color w:val="auto"/>
              </w:rPr>
            </w:pPr>
          </w:p>
        </w:tc>
        <w:tc>
          <w:tcPr>
            <w:tcW w:w="220" w:type="dxa"/>
            <w:vAlign w:val="bottom"/>
            <w:tcBorders>
              <w:top w:val="single" w:sz="8" w:color="1E1E1E"/>
              <w:bottom w:val="single" w:sz="8" w:color="1E1E1E"/>
            </w:tcBorders>
          </w:tcPr>
          <w:p>
            <w:pPr>
              <w:spacing w:after="0"/>
              <w:rPr>
                <w:sz w:val="24"/>
                <w:szCs w:val="24"/>
                <w:color w:val="auto"/>
              </w:rPr>
            </w:pPr>
          </w:p>
        </w:tc>
        <w:tc>
          <w:tcPr>
            <w:tcW w:w="8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210.9</w:t>
            </w:r>
          </w:p>
        </w:tc>
        <w:tc>
          <w:tcPr>
            <w:tcW w:w="80" w:type="dxa"/>
            <w:vAlign w:val="bottom"/>
            <w:tcBorders>
              <w:bottom w:val="single" w:sz="8" w:color="E1E1E1"/>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980" w:type="dxa"/>
            <w:vAlign w:val="bottom"/>
            <w:shd w:val="clear" w:color="auto" w:fill="E1E1E1"/>
          </w:tcPr>
          <w:p>
            <w:pPr>
              <w:spacing w:after="0"/>
              <w:rPr>
                <w:sz w:val="19"/>
                <w:szCs w:val="19"/>
                <w:color w:val="auto"/>
              </w:rPr>
            </w:pPr>
          </w:p>
        </w:tc>
        <w:tc>
          <w:tcPr>
            <w:tcW w:w="20" w:type="dxa"/>
            <w:vAlign w:val="bottom"/>
            <w:shd w:val="clear" w:color="auto" w:fill="E1E1E1"/>
          </w:tcPr>
          <w:p>
            <w:pPr>
              <w:spacing w:after="0"/>
              <w:rPr>
                <w:sz w:val="19"/>
                <w:szCs w:val="19"/>
                <w:color w:val="auto"/>
              </w:rPr>
            </w:pPr>
          </w:p>
        </w:tc>
        <w:tc>
          <w:tcPr>
            <w:tcW w:w="200" w:type="dxa"/>
            <w:vAlign w:val="bottom"/>
            <w:shd w:val="clear" w:color="auto" w:fill="E1E1E1"/>
          </w:tcPr>
          <w:p>
            <w:pPr>
              <w:spacing w:after="0"/>
              <w:rPr>
                <w:sz w:val="19"/>
                <w:szCs w:val="19"/>
                <w:color w:val="auto"/>
              </w:rPr>
            </w:pPr>
          </w:p>
        </w:tc>
        <w:tc>
          <w:tcPr>
            <w:tcW w:w="820" w:type="dxa"/>
            <w:vAlign w:val="bottom"/>
            <w:shd w:val="clear" w:color="auto" w:fill="E1E1E1"/>
          </w:tcPr>
          <w:p>
            <w:pPr>
              <w:spacing w:after="0"/>
              <w:rPr>
                <w:sz w:val="19"/>
                <w:szCs w:val="19"/>
                <w:color w:val="auto"/>
              </w:rPr>
            </w:pPr>
          </w:p>
        </w:tc>
        <w:tc>
          <w:tcPr>
            <w:tcW w:w="280" w:type="dxa"/>
            <w:vAlign w:val="bottom"/>
            <w:shd w:val="clear" w:color="auto" w:fill="E1E1E1"/>
          </w:tcPr>
          <w:p>
            <w:pPr>
              <w:spacing w:after="0"/>
              <w:rPr>
                <w:sz w:val="19"/>
                <w:szCs w:val="19"/>
                <w:color w:val="auto"/>
              </w:rPr>
            </w:pPr>
          </w:p>
        </w:tc>
        <w:tc>
          <w:tcPr>
            <w:tcW w:w="240" w:type="dxa"/>
            <w:vAlign w:val="bottom"/>
            <w:shd w:val="clear" w:color="auto" w:fill="E1E1E1"/>
          </w:tcPr>
          <w:p>
            <w:pPr>
              <w:spacing w:after="0"/>
              <w:rPr>
                <w:sz w:val="19"/>
                <w:szCs w:val="19"/>
                <w:color w:val="auto"/>
              </w:rPr>
            </w:pPr>
          </w:p>
        </w:tc>
        <w:tc>
          <w:tcPr>
            <w:tcW w:w="820" w:type="dxa"/>
            <w:vAlign w:val="bottom"/>
            <w:shd w:val="clear" w:color="auto" w:fill="E1E1E1"/>
          </w:tcPr>
          <w:p>
            <w:pPr>
              <w:spacing w:after="0"/>
              <w:rPr>
                <w:sz w:val="19"/>
                <w:szCs w:val="19"/>
                <w:color w:val="auto"/>
              </w:rPr>
            </w:pPr>
          </w:p>
        </w:tc>
        <w:tc>
          <w:tcPr>
            <w:tcW w:w="180" w:type="dxa"/>
            <w:vAlign w:val="bottom"/>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220" w:type="dxa"/>
            <w:vAlign w:val="bottom"/>
            <w:shd w:val="clear" w:color="auto" w:fill="E1E1E1"/>
          </w:tcPr>
          <w:p>
            <w:pPr>
              <w:spacing w:after="0"/>
              <w:rPr>
                <w:sz w:val="19"/>
                <w:szCs w:val="19"/>
                <w:color w:val="auto"/>
              </w:rPr>
            </w:pPr>
          </w:p>
        </w:tc>
        <w:tc>
          <w:tcPr>
            <w:tcW w:w="8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20"/>
                <w:szCs w:val="20"/>
                <w:color w:val="1E1E1E"/>
              </w:rPr>
              <w:t>Basic:</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shd w:val="clear" w:color="auto" w:fill="E1E1E1"/>
          </w:tcPr>
          <w:p>
            <w:pPr>
              <w:ind w:left="80"/>
              <w:spacing w:after="0"/>
              <w:rPr>
                <w:sz w:val="20"/>
                <w:szCs w:val="20"/>
                <w:color w:val="auto"/>
              </w:rPr>
            </w:pPr>
            <w:r>
              <w:rPr>
                <w:rFonts w:ascii="Times New Roman" w:cs="Times New Roman" w:eastAsia="Times New Roman" w:hAnsi="Times New Roman"/>
                <w:sz w:val="20"/>
                <w:szCs w:val="20"/>
                <w:color w:val="1E1E1E"/>
              </w:rPr>
              <w:t>Earnings (loss) from continuing operations per share</w:t>
            </w:r>
          </w:p>
        </w:tc>
        <w:tc>
          <w:tcPr>
            <w:tcW w:w="220" w:type="dxa"/>
            <w:vAlign w:val="bottom"/>
            <w:gridSpan w:val="2"/>
            <w:shd w:val="clear" w:color="auto" w:fill="E1E1E1"/>
          </w:tcPr>
          <w:p>
            <w:pPr>
              <w:jc w:val="right"/>
              <w:ind w:right="35"/>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1.16</w:t>
            </w:r>
          </w:p>
        </w:tc>
        <w:tc>
          <w:tcPr>
            <w:tcW w:w="280" w:type="dxa"/>
            <w:vAlign w:val="bottom"/>
            <w:shd w:val="clear" w:color="auto" w:fill="E1E1E1"/>
          </w:tcPr>
          <w:p>
            <w:pPr>
              <w:spacing w:after="0"/>
              <w:rPr>
                <w:sz w:val="21"/>
                <w:szCs w:val="21"/>
                <w:color w:val="auto"/>
              </w:rPr>
            </w:pPr>
          </w:p>
        </w:tc>
        <w:tc>
          <w:tcPr>
            <w:tcW w:w="2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(1.27)</w:t>
            </w:r>
          </w:p>
        </w:tc>
        <w:tc>
          <w:tcPr>
            <w:tcW w:w="3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(3.39)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Earnings (loss) from discontinued operations per share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(4.05)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80" w:type="dxa"/>
            <w:vAlign w:val="bottom"/>
            <w:tcBorders>
              <w:top w:val="single" w:sz="8" w:color="E1E1E1"/>
            </w:tcBorders>
            <w:shd w:val="clear" w:color="auto" w:fill="E1E1E1"/>
          </w:tcPr>
          <w:p>
            <w:pPr>
              <w:ind w:left="80"/>
              <w:spacing w:after="0"/>
              <w:rPr>
                <w:sz w:val="20"/>
                <w:szCs w:val="20"/>
                <w:color w:val="auto"/>
              </w:rPr>
            </w:pPr>
            <w:r>
              <w:rPr>
                <w:rFonts w:ascii="Times New Roman" w:cs="Times New Roman" w:eastAsia="Times New Roman" w:hAnsi="Times New Roman"/>
                <w:sz w:val="20"/>
                <w:szCs w:val="20"/>
                <w:color w:val="1E1E1E"/>
              </w:rPr>
              <w:t>Earnings (loss) per share</w:t>
            </w:r>
          </w:p>
        </w:tc>
        <w:tc>
          <w:tcPr>
            <w:tcW w:w="2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1E1E1E"/>
              <w:bottom w:val="single" w:sz="8" w:color="1E1E1E"/>
            </w:tcBorders>
            <w:shd w:val="clear" w:color="auto" w:fill="E1E1E1"/>
          </w:tcPr>
          <w:p>
            <w:pPr>
              <w:jc w:val="right"/>
              <w:ind w:right="35"/>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10.09</w:t>
            </w:r>
          </w:p>
        </w:tc>
        <w:tc>
          <w:tcPr>
            <w:tcW w:w="280" w:type="dxa"/>
            <w:vAlign w:val="bottom"/>
            <w:tcBorders>
              <w:top w:val="single" w:sz="8" w:color="E1E1E1"/>
            </w:tcBorders>
            <w:shd w:val="clear" w:color="auto" w:fill="E1E1E1"/>
          </w:tcPr>
          <w:p>
            <w:pPr>
              <w:spacing w:after="0"/>
              <w:rPr>
                <w:sz w:val="20"/>
                <w:szCs w:val="20"/>
                <w:color w:val="auto"/>
              </w:rPr>
            </w:pPr>
          </w:p>
        </w:tc>
        <w:tc>
          <w:tcPr>
            <w:tcW w:w="240" w:type="dxa"/>
            <w:vAlign w:val="bottom"/>
            <w:tcBorders>
              <w:top w:val="single" w:sz="8" w:color="1E1E1E"/>
              <w:bottom w:val="single" w:sz="8" w:color="1E1E1E"/>
            </w:tcBorders>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(1.78)</w:t>
            </w:r>
          </w:p>
        </w:tc>
        <w:tc>
          <w:tcPr>
            <w:tcW w:w="18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E1E1E1"/>
            </w:tcBorders>
            <w:shd w:val="clear" w:color="auto" w:fill="E1E1E1"/>
          </w:tcPr>
          <w:p>
            <w:pPr>
              <w:spacing w:after="0"/>
              <w:rPr>
                <w:sz w:val="20"/>
                <w:szCs w:val="20"/>
                <w:color w:val="auto"/>
              </w:rPr>
            </w:pPr>
          </w:p>
        </w:tc>
        <w:tc>
          <w:tcPr>
            <w:tcW w:w="220" w:type="dxa"/>
            <w:vAlign w:val="bottom"/>
            <w:tcBorders>
              <w:top w:val="single" w:sz="8" w:color="1E1E1E"/>
              <w:bottom w:val="single" w:sz="8" w:color="1E1E1E"/>
            </w:tcBorders>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(7.44)</w:t>
            </w: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restart"/>
          </w:tcPr>
          <w:p>
            <w:pPr>
              <w:spacing w:after="0"/>
              <w:rPr>
                <w:sz w:val="19"/>
                <w:szCs w:val="19"/>
                <w:color w:val="auto"/>
              </w:rPr>
            </w:pPr>
          </w:p>
        </w:tc>
        <w:tc>
          <w:tcPr>
            <w:tcW w:w="6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69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Diluted:</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82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4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Earnings (loss) from continuing operations per share</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1.11</w:t>
            </w:r>
          </w:p>
        </w:tc>
        <w:tc>
          <w:tcPr>
            <w:tcW w:w="28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(1.27)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(3.39)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80" w:type="dxa"/>
            <w:vAlign w:val="bottom"/>
            <w:shd w:val="clear" w:color="auto" w:fill="E1E1E1"/>
          </w:tcPr>
          <w:p>
            <w:pPr>
              <w:ind w:left="80"/>
              <w:spacing w:after="0"/>
              <w:rPr>
                <w:sz w:val="20"/>
                <w:szCs w:val="20"/>
                <w:color w:val="auto"/>
              </w:rPr>
            </w:pPr>
            <w:r>
              <w:rPr>
                <w:rFonts w:ascii="Times New Roman" w:cs="Times New Roman" w:eastAsia="Times New Roman" w:hAnsi="Times New Roman"/>
                <w:sz w:val="20"/>
                <w:szCs w:val="20"/>
                <w:color w:val="1E1E1E"/>
              </w:rPr>
              <w:t>Earnings (loss) from discontinued operations per share</w:t>
            </w:r>
          </w:p>
        </w:tc>
        <w:tc>
          <w:tcPr>
            <w:tcW w:w="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8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8.52</w:t>
            </w:r>
          </w:p>
        </w:tc>
        <w:tc>
          <w:tcPr>
            <w:tcW w:w="2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(0.51)</w:t>
            </w:r>
          </w:p>
        </w:tc>
        <w:tc>
          <w:tcPr>
            <w:tcW w:w="10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9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(4.05)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Earnings (loss) per share</w:t>
            </w:r>
          </w:p>
        </w:tc>
        <w:tc>
          <w:tcPr>
            <w:tcW w:w="20" w:type="dxa"/>
            <w:vAlign w:val="bottom"/>
          </w:tcPr>
          <w:p>
            <w:pPr>
              <w:spacing w:after="0"/>
              <w:rPr>
                <w:sz w:val="20"/>
                <w:szCs w:val="20"/>
                <w:color w:val="auto"/>
              </w:rPr>
            </w:pPr>
          </w:p>
        </w:tc>
        <w:tc>
          <w:tcPr>
            <w:tcW w:w="200" w:type="dxa"/>
            <w:vAlign w:val="bottom"/>
            <w:tcBorders>
              <w:top w:val="single" w:sz="8" w:color="1E1E1E"/>
              <w:bottom w:val="single" w:sz="8" w:color="1E1E1E"/>
            </w:tcBorders>
          </w:tcPr>
          <w:p>
            <w:pPr>
              <w:jc w:val="right"/>
              <w:ind w:right="35"/>
              <w:spacing w:after="0"/>
              <w:rPr>
                <w:sz w:val="20"/>
                <w:szCs w:val="20"/>
                <w:color w:val="auto"/>
              </w:rPr>
            </w:pPr>
            <w:r>
              <w:rPr>
                <w:rFonts w:ascii="Times New Roman" w:cs="Times New Roman" w:eastAsia="Times New Roman" w:hAnsi="Times New Roman"/>
                <w:sz w:val="17"/>
                <w:szCs w:val="17"/>
                <w:color w:val="1E1E1E"/>
                <w:w w:val="70"/>
              </w:rPr>
              <w:t>$</w:t>
            </w:r>
          </w:p>
        </w:tc>
        <w:tc>
          <w:tcPr>
            <w:tcW w:w="8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9.63</w:t>
            </w:r>
          </w:p>
        </w:tc>
        <w:tc>
          <w:tcPr>
            <w:tcW w:w="280" w:type="dxa"/>
            <w:vAlign w:val="bottom"/>
          </w:tcPr>
          <w:p>
            <w:pPr>
              <w:spacing w:after="0"/>
              <w:rPr>
                <w:sz w:val="20"/>
                <w:szCs w:val="20"/>
                <w:color w:val="auto"/>
              </w:rPr>
            </w:pPr>
          </w:p>
        </w:tc>
        <w:tc>
          <w:tcPr>
            <w:tcW w:w="240" w:type="dxa"/>
            <w:vAlign w:val="bottom"/>
            <w:tcBorders>
              <w:top w:val="single" w:sz="8" w:color="1E1E1E"/>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1E1E1E"/>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Concentrations of Risk</w:t>
      </w:r>
    </w:p>
    <w:p>
      <w:pPr>
        <w:spacing w:after="0" w:line="12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Non-derivative financial instruments used by the Company in the normal course of business include letters of credit and commitments to extend credit, primarily accounts receivable. The Company generally does not require collateral on its accounts receivable. These financial instruments involve risk, including the credit risk of nonperformance by the counterparties to those instruments, and the actual loss may exceed the reserves provided in the Company’s Consolidated Balance Sheets. For further discussion of customer-related concentrations of risk, see Note 17 included in these consolidated financial statements.</w:t>
      </w:r>
    </w:p>
    <w:p>
      <w:pPr>
        <w:spacing w:after="0" w:line="19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1E1E1E"/>
        </w:rPr>
        <w:t>The Company manages its exposures to credit risk associated with accounts receivable using tools such as credit approvals, credit limits and monitoring procedures. The Company estimates the allowance for doubtful accounts based on the actual payment history and individual circumstances of significant customers as well as the age of receivables. In management’s opinion, as of December 31, 2025, the Company did not have significant unreserved risk of credit loss due to the non-performance of customers or other counterparties related to amounts receivable. However, an adverse change in financial condition of a significant customer or group of customers or in the telecommunications industry could materially affect the Company’s estimates related to doubtful accounts.</w:t>
      </w:r>
    </w:p>
    <w:p>
      <w:pPr>
        <w:spacing w:after="0" w:line="200"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1E1E1E"/>
        </w:rPr>
        <w:t>The principal raw materials and components purchased by the Company (aluminum, copper, steel, optical fiber, capacitors, memory devices and silicon chips) are subject to changes in market price as these materials are linked to various commodity markets. The Company attempts to mitigate these risks through effective requirements planning and by working closely with its key suppliers to obtain the best possible pricing and delivery terms.</w:t>
      </w:r>
    </w:p>
    <w:p>
      <w:pPr>
        <w:spacing w:after="0" w:line="190"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1E1E1E"/>
        </w:rPr>
        <w:t>The Company relies on sole suppliers or a limited group of suppliers for certain key components (memory devices, capacitors and silicon chips), subassemblies and modules and a limited group of contract manufacturers to manufacture a significant portion of its products. Any disruption or termination of these arrangements could have a material adverse impact on the Company’s results of operations.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71</w:t>
      </w:r>
    </w:p>
    <w:p>
      <w:pPr>
        <w:sectPr>
          <w:pgSz w:w="11880" w:h="15480" w:orient="portrait"/>
          <w:cols w:equalWidth="0" w:num="1">
            <w:col w:w="10800"/>
          </w:cols>
          <w:pgMar w:left="540" w:top="515" w:right="540" w:bottom="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Recent Accounting Pronouncements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Adopted in 2025</w:t>
      </w:r>
    </w:p>
    <w:p>
      <w:pPr>
        <w:spacing w:after="0" w:line="11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 xml:space="preserve">On January 1, 2025, the Financial Accounting Standards Board (FASB) issued Accounting Standards Update (ASU) No. 2023-09, </w:t>
      </w:r>
      <w:r>
        <w:rPr>
          <w:rFonts w:ascii="Times New Roman" w:cs="Times New Roman" w:eastAsia="Times New Roman" w:hAnsi="Times New Roman"/>
          <w:sz w:val="20"/>
          <w:szCs w:val="20"/>
          <w:i w:val="1"/>
          <w:iCs w:val="1"/>
          <w:color w:val="1E1E1E"/>
        </w:rPr>
        <w:t>Income Taxes (Topic 740): Improvements to Income Tax Disclosures</w:t>
      </w:r>
      <w:r>
        <w:rPr>
          <w:rFonts w:ascii="Times New Roman" w:cs="Times New Roman" w:eastAsia="Times New Roman" w:hAnsi="Times New Roman"/>
          <w:sz w:val="20"/>
          <w:szCs w:val="20"/>
          <w:color w:val="1E1E1E"/>
        </w:rPr>
        <w:t>. The new guidance improves income tax disclosures by requiring</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additional information related to the rate reconciliation and income taxes paid, including 1) consistent categories and greater disaggregation of information in the rate reconciliation and 2) disaggregation of income taxes paid by jurisdiction. The guidance is effective for the Company on a prospective or retroactive basis, beginning January 1, 2025 for the annual period. As a result, the Company has enhanced its income tax disclosures to align with the new guidance on a prospective basis. As the adoption of this ASU relates to disclosures only, there was no impact to the Company’s results of operations and financial condition.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Issued but Not Adopted</w:t>
      </w:r>
    </w:p>
    <w:p>
      <w:pPr>
        <w:spacing w:after="0" w:line="11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1E1E1E"/>
        </w:rPr>
        <w:t xml:space="preserve">In December 2025, the FASB issued ASU No. 2025-12, </w:t>
      </w:r>
      <w:r>
        <w:rPr>
          <w:rFonts w:ascii="Times New Roman" w:cs="Times New Roman" w:eastAsia="Times New Roman" w:hAnsi="Times New Roman"/>
          <w:sz w:val="20"/>
          <w:szCs w:val="20"/>
          <w:i w:val="1"/>
          <w:iCs w:val="1"/>
          <w:color w:val="1E1E1E"/>
        </w:rPr>
        <w:t>Codification Improvements.</w:t>
      </w:r>
      <w:r>
        <w:rPr>
          <w:rFonts w:ascii="Times New Roman" w:cs="Times New Roman" w:eastAsia="Times New Roman" w:hAnsi="Times New Roman"/>
          <w:sz w:val="20"/>
          <w:szCs w:val="20"/>
          <w:color w:val="1E1E1E"/>
        </w:rPr>
        <w:t xml:space="preserve"> The new guidance addresses various technical corrections, clarifications, and minor improvements to the ASC. The ASU addresses 33 issues, primarily clarifying existing guidance, correcting errors, or making minor improvements to enhance the understandability and application of the ASC. The amendments are varied in nature and may impact the application of guidance in areas where the original guidance was unclear. The guidance is effective for the Company beginning January 1, 2027 for the interim and annual reporting periods. Early adoption is permitted. The Company is currently evaluating the impact of the new guidance on the consolidated financial statements.</w:t>
      </w:r>
    </w:p>
    <w:p>
      <w:pPr>
        <w:spacing w:after="0" w:line="20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1E1E1E"/>
        </w:rPr>
        <w:t xml:space="preserve">In December 2025, the FASB issued ASU No. 2025-11, </w:t>
      </w:r>
      <w:r>
        <w:rPr>
          <w:rFonts w:ascii="Times New Roman" w:cs="Times New Roman" w:eastAsia="Times New Roman" w:hAnsi="Times New Roman"/>
          <w:sz w:val="20"/>
          <w:szCs w:val="20"/>
          <w:i w:val="1"/>
          <w:iCs w:val="1"/>
          <w:color w:val="1E1E1E"/>
        </w:rPr>
        <w:t>Interim Reporting (Topic 270): Narrow-Scope Improvements</w:t>
      </w:r>
      <w:r>
        <w:rPr>
          <w:rFonts w:ascii="Times New Roman" w:cs="Times New Roman" w:eastAsia="Times New Roman" w:hAnsi="Times New Roman"/>
          <w:sz w:val="20"/>
          <w:szCs w:val="20"/>
          <w:color w:val="1E1E1E"/>
        </w:rPr>
        <w:t>. The new guidance aims to enhance the clarity and navigability of guidance related to interim disclosures. This guidance clarifies when the guidance in ASC Topic 270 is applicable and specifies the disclosures required during interim reporting periods. The amendments clarify that ASC Topic 270 applies to all entities that provide interim financial statements and notes in accordance with generally accepted accounting principles (GAAP). The ASU provides a comprehensive list of interim disclosures required by GAAP, which is intended to improve efficiency in using the ASC. This list clarifies existing requirements and does not aim to expand or reduce current interim disclosure obligations. The guidance is effective for the Company beginning January 1, 2028 for the interim and annual reporting periods. Early adoption is permitted. The Company is currently evaluating the impact of the new guidance on the consolidated financial statements.</w:t>
      </w:r>
    </w:p>
    <w:p>
      <w:pPr>
        <w:spacing w:after="0" w:line="20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1E1E1E"/>
        </w:rPr>
        <w:t xml:space="preserve">In December 2025, the FASB issued ASU No. 2025-10, </w:t>
      </w:r>
      <w:r>
        <w:rPr>
          <w:rFonts w:ascii="Times New Roman" w:cs="Times New Roman" w:eastAsia="Times New Roman" w:hAnsi="Times New Roman"/>
          <w:sz w:val="20"/>
          <w:szCs w:val="20"/>
          <w:i w:val="1"/>
          <w:iCs w:val="1"/>
          <w:color w:val="1E1E1E"/>
        </w:rPr>
        <w:t>Government Grants (Topic 832): Accounting for Government Grants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Received by Business Entities. </w:t>
      </w:r>
      <w:r>
        <w:rPr>
          <w:rFonts w:ascii="Times New Roman" w:cs="Times New Roman" w:eastAsia="Times New Roman" w:hAnsi="Times New Roman"/>
          <w:sz w:val="20"/>
          <w:szCs w:val="20"/>
          <w:color w:val="1E1E1E"/>
        </w:rPr>
        <w:t>The new guidance establishes authoritative guidance for business entities on the recognition,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measurement, and presentation of government grants defined as a transfer of a monetary asset or tangible non-monetary asset, other than an exchange transaction, from a government to a business entity. The guidance is effective for the Company beginning January 1, 2029 for the interim and annual reporting periods. Early adoption is permitted. The Company is currently evaluating the impact of the new guidance on the consolidated financial statements.</w:t>
      </w:r>
    </w:p>
    <w:p>
      <w:pPr>
        <w:spacing w:after="0" w:line="20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1E1E1E"/>
        </w:rPr>
        <w:t xml:space="preserve">In November 2025, the FASB issued ASU No. 2025-09, Derivatives and Hedging </w:t>
      </w:r>
      <w:r>
        <w:rPr>
          <w:rFonts w:ascii="Times New Roman" w:cs="Times New Roman" w:eastAsia="Times New Roman" w:hAnsi="Times New Roman"/>
          <w:sz w:val="19"/>
          <w:szCs w:val="19"/>
          <w:i w:val="1"/>
          <w:iCs w:val="1"/>
          <w:color w:val="1E1E1E"/>
        </w:rPr>
        <w:t>(Topic 815): Hedge Accounting Improvements.</w:t>
      </w:r>
      <w:r>
        <w:rPr>
          <w:rFonts w:ascii="Times New Roman" w:cs="Times New Roman" w:eastAsia="Times New Roman" w:hAnsi="Times New Roman"/>
          <w:sz w:val="19"/>
          <w:szCs w:val="19"/>
          <w:color w:val="1E1E1E"/>
        </w:rPr>
        <w:t xml:space="preserve"> The new guidance clarify certain aspects of hedge accounting guidance and address incremental hedge accounting issues arising from the global reference rate reform initiative. The ASU aims to align hedge accounting more closely with the economics of an entity’s risk management activities, enabling entities to achieve and maintain hedge accounting for highly effective economic hedges of forecasted transactions. The guidance is effective for the Company beginning January 1, 2027 for the interim and annual reporting periods. Early adoption is permitted. The Company is currently evaluating the impact of the new guidance on the consolidated financial statements.</w:t>
      </w:r>
    </w:p>
    <w:p>
      <w:pPr>
        <w:spacing w:after="0" w:line="18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1E1E1E"/>
        </w:rPr>
        <w:t xml:space="preserve">In September 2025, the FASB issued ASU No. 2025-07, </w:t>
      </w:r>
      <w:r>
        <w:rPr>
          <w:rFonts w:ascii="Times New Roman" w:cs="Times New Roman" w:eastAsia="Times New Roman" w:hAnsi="Times New Roman"/>
          <w:sz w:val="20"/>
          <w:szCs w:val="20"/>
          <w:i w:val="1"/>
          <w:iCs w:val="1"/>
          <w:color w:val="1E1E1E"/>
        </w:rPr>
        <w:t>Derivatives and Hedging (Topic 815) and Revenue from Contracts with</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Customers (Topic 606): Derivatives Scope Refinements and Scope Clarification for Share-Based Noncash Consideration from a Customer in a Revenue Contract. </w:t>
      </w:r>
      <w:r>
        <w:rPr>
          <w:rFonts w:ascii="Times New Roman" w:cs="Times New Roman" w:eastAsia="Times New Roman" w:hAnsi="Times New Roman"/>
          <w:sz w:val="20"/>
          <w:szCs w:val="20"/>
          <w:color w:val="1E1E1E"/>
        </w:rPr>
        <w:t>The new guidance refines the scope of Topic 815 by providing clarification regarding the contracts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subject to derivative accounting. The guidance also provides clarification under Topic 606 for share-based payments from a customer in a revenue contract. The guidance is effective for the Company on a prospective or modified retrospective basis, beginning January 1, 2027 for the interim and annual periods. Early adoption is permitted. The Company is currently evaluating the impact of the new guidance on the consolidated financial statements.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72</w:t>
      </w:r>
    </w:p>
    <w:p>
      <w:pPr>
        <w:sectPr>
          <w:pgSz w:w="11880" w:h="15480" w:orient="portrait"/>
          <w:cols w:equalWidth="0" w:num="1">
            <w:col w:w="10800"/>
          </w:cols>
          <w:pgMar w:left="540" w:top="515" w:right="540" w:bottom="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 xml:space="preserve">In September 2025, the FASB issued ASU No. 2025-06, </w:t>
      </w:r>
      <w:r>
        <w:rPr>
          <w:rFonts w:ascii="Times New Roman" w:cs="Times New Roman" w:eastAsia="Times New Roman" w:hAnsi="Times New Roman"/>
          <w:sz w:val="20"/>
          <w:szCs w:val="20"/>
          <w:i w:val="1"/>
          <w:iCs w:val="1"/>
          <w:color w:val="1E1E1E"/>
        </w:rPr>
        <w:t>Intangibles—Goodwill and Other—Internal-Use Software (Subtopic 350-40):</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Targeted Improvements to the Accounting for Internal-Use Software. </w:t>
      </w:r>
      <w:r>
        <w:rPr>
          <w:rFonts w:ascii="Times New Roman" w:cs="Times New Roman" w:eastAsia="Times New Roman" w:hAnsi="Times New Roman"/>
          <w:sz w:val="20"/>
          <w:szCs w:val="20"/>
          <w:color w:val="1E1E1E"/>
        </w:rPr>
        <w:t>The new guidance modernizes the accounting for software costs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and provides the following criteria for capitalization of software costs: (1) management has authorized and committed to funding the software project; and (2) it is probable that the project will be completed and the software will be used to perform the function intended. The guidance is effective for the Company on a prospective, modified prospective or retrospective basis, beginning January 1, 2028 for the interim and annual periods. Early adoption is permitted. The Company is currently evaluating the impact of the new guidance on the consolidated financial statements.</w:t>
      </w:r>
    </w:p>
    <w:p>
      <w:pPr>
        <w:spacing w:after="0" w:line="20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 xml:space="preserve">In July 2025, the FASB issued ASU No. 2025-05, </w:t>
      </w:r>
      <w:r>
        <w:rPr>
          <w:rFonts w:ascii="Times New Roman" w:cs="Times New Roman" w:eastAsia="Times New Roman" w:hAnsi="Times New Roman"/>
          <w:sz w:val="20"/>
          <w:szCs w:val="20"/>
          <w:i w:val="1"/>
          <w:iCs w:val="1"/>
          <w:color w:val="1E1E1E"/>
        </w:rPr>
        <w:t>Financial Instruments—Credit Losses (Topic 326): Measurement of Credit Losses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for Accounts Receivable and Contract Assets. </w:t>
      </w:r>
      <w:r>
        <w:rPr>
          <w:rFonts w:ascii="Times New Roman" w:cs="Times New Roman" w:eastAsia="Times New Roman" w:hAnsi="Times New Roman"/>
          <w:sz w:val="20"/>
          <w:szCs w:val="20"/>
          <w:color w:val="1E1E1E"/>
        </w:rPr>
        <w:t>The new guidance is expected to provide decision-useful information to investors and</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other financial statement users while reducing the time and effort necessary to analyze and estimate credit losses for current accounts receivable and current contract assets. The amendments in this update introduce a practical expedient when applying the guidance related to the estimation of expected credit losses for current accounts receivable and current contract assets resulting from transactions arising from contracts with customers</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color w:val="1E1E1E"/>
        </w:rPr>
        <w:t xml:space="preserve"> The guidance is effective for the Company on a prospective basis, beginning January 1, 2026 for the interim and annual periods. Early adoption is permitted. The Company is currently evaluating the impact of the new guidance on the consolidated financial statements.</w:t>
      </w:r>
    </w:p>
    <w:p>
      <w:pPr>
        <w:spacing w:after="0" w:line="2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 xml:space="preserve">In November 2024, the FASB issued ASU No. 2024-03, </w:t>
      </w:r>
      <w:r>
        <w:rPr>
          <w:rFonts w:ascii="Times New Roman" w:cs="Times New Roman" w:eastAsia="Times New Roman" w:hAnsi="Times New Roman"/>
          <w:sz w:val="20"/>
          <w:szCs w:val="20"/>
          <w:i w:val="1"/>
          <w:iCs w:val="1"/>
          <w:color w:val="1E1E1E"/>
        </w:rPr>
        <w:t>Income Statement—Reporting Comprehensive Income—Expense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Disaggregation Disclosures (Subtopic 220-40): Clarifying the Effective Date. </w:t>
      </w:r>
      <w:r>
        <w:rPr>
          <w:rFonts w:ascii="Times New Roman" w:cs="Times New Roman" w:eastAsia="Times New Roman" w:hAnsi="Times New Roman"/>
          <w:sz w:val="20"/>
          <w:szCs w:val="20"/>
          <w:color w:val="1E1E1E"/>
        </w:rPr>
        <w:t>The new guidance improves disclosures for expenses of</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public entities and addresses requests from investors for more detailed information about the types of expenses in commonly presented expense captions. Coupled with recent standards that enhanced the disaggregation of revenue and income tax information, the disaggregated expense information required by these amendments will enable investors to better understand the major components of an entity’s income statement. The guidance is effective for the Company on a prospective or retrospective basis, as of January 1, 2027 for the annual period. Early adoption is permitted. As this ASU relates to disclosures only, there will be no impact to the Company’s results of operations and financial condition.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3. ACQUISITIONS</w:t>
      </w:r>
    </w:p>
    <w:p>
      <w:pPr>
        <w:spacing w:after="0" w:line="1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On June 7, 2024, the Company acquired certain assets of Casa Systems, Inc. and its subsidiaries (Casa) which were integrated into the Company’s Aurora (formerly ANS) segment. Casa provides telecommunication infrastructure equipment and software-centric infrastructure solutions that allow cable service providers to deliver voice, video and data services over a single platform. The Company funded the purchase price of $45.1 million and settled certain assumed liabilities, with cash on hand.</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1E1E1E"/>
        </w:rPr>
        <w:t xml:space="preserve">In the first quarter of 2025, the Company completed its acquisition method of accounting in accordance with ASC Topic 805, </w:t>
      </w:r>
      <w:r>
        <w:rPr>
          <w:rFonts w:ascii="Times New Roman" w:cs="Times New Roman" w:eastAsia="Times New Roman" w:hAnsi="Times New Roman"/>
          <w:sz w:val="20"/>
          <w:szCs w:val="20"/>
          <w:i w:val="1"/>
          <w:iCs w:val="1"/>
          <w:color w:val="1E1E1E"/>
        </w:rPr>
        <w:t>Business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Combinations</w:t>
      </w:r>
      <w:r>
        <w:rPr>
          <w:rFonts w:ascii="Times New Roman" w:cs="Times New Roman" w:eastAsia="Times New Roman" w:hAnsi="Times New Roman"/>
          <w:sz w:val="20"/>
          <w:szCs w:val="20"/>
          <w:color w:val="1E1E1E"/>
        </w:rPr>
        <w:t>, and made an adjustment to decrease the fair value of accounts receivable, net by $1.7 million with a corresponding</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increase of $1.7 million to goodwill.</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73</w:t>
      </w:r>
    </w:p>
    <w:p>
      <w:pPr>
        <w:sectPr>
          <w:pgSz w:w="11880" w:h="15480" w:orient="portrait"/>
          <w:cols w:equalWidth="0" w:num="1">
            <w:col w:w="10800"/>
          </w:cols>
          <w:pgMar w:left="540" w:top="515" w:right="54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20"/>
          <w:szCs w:val="20"/>
          <w:color w:val="1E1E1E"/>
        </w:rPr>
        <w:t>The following table represents the final determination of the fair value of identifiable assets acquired and liabilities assumed in the transaction as of the acquisition date: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1E1E1E"/>
              </w:rPr>
              <w:t>Fair Value</w:t>
            </w:r>
          </w:p>
        </w:tc>
      </w:tr>
      <w:tr>
        <w:trPr>
          <w:trHeight w:val="239"/>
        </w:trPr>
        <w:tc>
          <w:tcPr>
            <w:tcW w:w="80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Purchase price</w:t>
            </w:r>
          </w:p>
        </w:tc>
        <w:tc>
          <w:tcPr>
            <w:tcW w:w="540" w:type="dxa"/>
            <w:vAlign w:val="bottom"/>
            <w:tcBorders>
              <w:top w:val="single" w:sz="8" w:color="1E1E1E"/>
            </w:tcBorders>
            <w:shd w:val="clear" w:color="auto" w:fill="E1E1E1"/>
          </w:tcPr>
          <w:p>
            <w:pPr>
              <w:spacing w:after="0"/>
              <w:rPr>
                <w:sz w:val="20"/>
                <w:szCs w:val="20"/>
                <w:color w:val="auto"/>
              </w:rPr>
            </w:pPr>
          </w:p>
        </w:tc>
        <w:tc>
          <w:tcPr>
            <w:tcW w:w="2200" w:type="dxa"/>
            <w:vAlign w:val="bottom"/>
            <w:tcBorders>
              <w:top w:val="single" w:sz="8" w:color="1E1E1E"/>
            </w:tcBorders>
            <w:shd w:val="clear" w:color="auto" w:fill="E1E1E1"/>
          </w:tcPr>
          <w:p>
            <w:pPr>
              <w:spacing w:after="0"/>
              <w:rPr>
                <w:sz w:val="20"/>
                <w:szCs w:val="20"/>
                <w:color w:val="auto"/>
              </w:rPr>
            </w:pPr>
          </w:p>
        </w:tc>
        <w:tc>
          <w:tcPr>
            <w:tcW w:w="60" w:type="dxa"/>
            <w:vAlign w:val="bottom"/>
            <w:tcBorders>
              <w:top w:val="single" w:sz="8" w:color="E1E1E1"/>
            </w:tcBorders>
            <w:shd w:val="clear" w:color="auto" w:fill="E1E1E1"/>
          </w:tcPr>
          <w:p>
            <w:pPr>
              <w:spacing w:after="0"/>
              <w:rPr>
                <w:sz w:val="20"/>
                <w:szCs w:val="20"/>
                <w:color w:val="auto"/>
              </w:rPr>
            </w:pPr>
          </w:p>
        </w:tc>
      </w:tr>
      <w:tr>
        <w:trPr>
          <w:trHeight w:val="244"/>
        </w:trPr>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Total cash consideration paid</w:t>
            </w:r>
          </w:p>
        </w:tc>
        <w:tc>
          <w:tcPr>
            <w:tcW w:w="5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45.1</w:t>
            </w:r>
          </w:p>
        </w:tc>
        <w:tc>
          <w:tcPr>
            <w:tcW w:w="60" w:type="dxa"/>
            <w:vAlign w:val="bottom"/>
          </w:tcPr>
          <w:p>
            <w:pPr>
              <w:spacing w:after="0"/>
              <w:rPr>
                <w:sz w:val="21"/>
                <w:szCs w:val="21"/>
                <w:color w:val="auto"/>
              </w:rPr>
            </w:pPr>
          </w:p>
        </w:tc>
      </w:tr>
      <w:tr>
        <w:trPr>
          <w:trHeight w:val="244"/>
        </w:trPr>
        <w:tc>
          <w:tcPr>
            <w:tcW w:w="800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220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r>
      <w:tr>
        <w:trPr>
          <w:trHeight w:val="244"/>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1E1E1E"/>
              </w:rPr>
              <w:t>Assets</w:t>
            </w:r>
          </w:p>
        </w:tc>
        <w:tc>
          <w:tcPr>
            <w:tcW w:w="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8000" w:type="dxa"/>
            <w:vAlign w:val="bottom"/>
            <w:shd w:val="clear" w:color="auto" w:fill="E1E1E1"/>
          </w:tcPr>
          <w:p>
            <w:pPr>
              <w:ind w:left="100"/>
              <w:spacing w:after="0" w:line="243" w:lineRule="exact"/>
              <w:rPr>
                <w:sz w:val="20"/>
                <w:szCs w:val="20"/>
                <w:color w:val="auto"/>
              </w:rPr>
            </w:pPr>
            <w:r>
              <w:rPr>
                <w:rFonts w:ascii="Times New Roman" w:cs="Times New Roman" w:eastAsia="Times New Roman" w:hAnsi="Times New Roman"/>
                <w:sz w:val="20"/>
                <w:szCs w:val="20"/>
                <w:color w:val="1E1E1E"/>
              </w:rPr>
              <w:t xml:space="preserve">Accounts receivable, net </w:t>
            </w:r>
            <w:r>
              <w:rPr>
                <w:rFonts w:ascii="Times New Roman" w:cs="Times New Roman" w:eastAsia="Times New Roman" w:hAnsi="Times New Roman"/>
                <w:sz w:val="26"/>
                <w:szCs w:val="26"/>
                <w:color w:val="1E1E1E"/>
                <w:vertAlign w:val="superscript"/>
              </w:rPr>
              <w:t>(1)</w:t>
            </w:r>
          </w:p>
        </w:tc>
        <w:tc>
          <w:tcPr>
            <w:tcW w:w="540" w:type="dxa"/>
            <w:vAlign w:val="bottom"/>
            <w:shd w:val="clear" w:color="auto" w:fill="E1E1E1"/>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22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60" w:type="dxa"/>
            <w:vAlign w:val="bottom"/>
            <w:shd w:val="clear" w:color="auto" w:fill="E1E1E1"/>
          </w:tcPr>
          <w:p>
            <w:pPr>
              <w:spacing w:after="0"/>
              <w:rPr>
                <w:sz w:val="21"/>
                <w:szCs w:val="21"/>
                <w:color w:val="auto"/>
              </w:rPr>
            </w:pPr>
          </w:p>
        </w:tc>
      </w:tr>
      <w:tr>
        <w:trPr>
          <w:trHeight w:val="244"/>
        </w:trPr>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Inventories, net</w:t>
            </w:r>
          </w:p>
        </w:tc>
        <w:tc>
          <w:tcPr>
            <w:tcW w:w="54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60" w:type="dxa"/>
            <w:vAlign w:val="bottom"/>
          </w:tcPr>
          <w:p>
            <w:pPr>
              <w:spacing w:after="0"/>
              <w:rPr>
                <w:sz w:val="21"/>
                <w:szCs w:val="21"/>
                <w:color w:val="auto"/>
              </w:rPr>
            </w:pPr>
          </w:p>
        </w:tc>
      </w:tr>
      <w:tr>
        <w:trPr>
          <w:trHeight w:val="244"/>
        </w:trPr>
        <w:tc>
          <w:tcPr>
            <w:tcW w:w="80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Property, plant and equipment</w:t>
            </w:r>
          </w:p>
        </w:tc>
        <w:tc>
          <w:tcPr>
            <w:tcW w:w="540" w:type="dxa"/>
            <w:vAlign w:val="bottom"/>
            <w:shd w:val="clear" w:color="auto" w:fill="E1E1E1"/>
          </w:tcPr>
          <w:p>
            <w:pPr>
              <w:spacing w:after="0"/>
              <w:rPr>
                <w:sz w:val="21"/>
                <w:szCs w:val="21"/>
                <w:color w:val="auto"/>
              </w:rPr>
            </w:pPr>
          </w:p>
        </w:tc>
        <w:tc>
          <w:tcPr>
            <w:tcW w:w="22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6.1</w:t>
            </w:r>
          </w:p>
        </w:tc>
        <w:tc>
          <w:tcPr>
            <w:tcW w:w="60" w:type="dxa"/>
            <w:vAlign w:val="bottom"/>
            <w:shd w:val="clear" w:color="auto" w:fill="E1E1E1"/>
          </w:tcPr>
          <w:p>
            <w:pPr>
              <w:spacing w:after="0"/>
              <w:rPr>
                <w:sz w:val="21"/>
                <w:szCs w:val="21"/>
                <w:color w:val="auto"/>
              </w:rPr>
            </w:pPr>
          </w:p>
        </w:tc>
      </w:tr>
      <w:tr>
        <w:trPr>
          <w:trHeight w:val="244"/>
        </w:trPr>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Goodwill</w:t>
            </w:r>
          </w:p>
        </w:tc>
        <w:tc>
          <w:tcPr>
            <w:tcW w:w="54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60" w:type="dxa"/>
            <w:vAlign w:val="bottom"/>
          </w:tcPr>
          <w:p>
            <w:pPr>
              <w:spacing w:after="0"/>
              <w:rPr>
                <w:sz w:val="21"/>
                <w:szCs w:val="21"/>
                <w:color w:val="auto"/>
              </w:rPr>
            </w:pPr>
          </w:p>
        </w:tc>
      </w:tr>
      <w:tr>
        <w:trPr>
          <w:trHeight w:val="244"/>
        </w:trPr>
        <w:tc>
          <w:tcPr>
            <w:tcW w:w="80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Identifiable intangible assets</w:t>
            </w:r>
          </w:p>
        </w:tc>
        <w:tc>
          <w:tcPr>
            <w:tcW w:w="540" w:type="dxa"/>
            <w:vAlign w:val="bottom"/>
            <w:shd w:val="clear" w:color="auto" w:fill="E1E1E1"/>
          </w:tcPr>
          <w:p>
            <w:pPr>
              <w:spacing w:after="0"/>
              <w:rPr>
                <w:sz w:val="21"/>
                <w:szCs w:val="21"/>
                <w:color w:val="auto"/>
              </w:rPr>
            </w:pPr>
          </w:p>
        </w:tc>
        <w:tc>
          <w:tcPr>
            <w:tcW w:w="22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21.1</w:t>
            </w:r>
          </w:p>
        </w:tc>
        <w:tc>
          <w:tcPr>
            <w:tcW w:w="60" w:type="dxa"/>
            <w:vAlign w:val="bottom"/>
            <w:shd w:val="clear" w:color="auto" w:fill="E1E1E1"/>
          </w:tcPr>
          <w:p>
            <w:pPr>
              <w:spacing w:after="0"/>
              <w:rPr>
                <w:sz w:val="21"/>
                <w:szCs w:val="21"/>
                <w:color w:val="auto"/>
              </w:rPr>
            </w:pPr>
          </w:p>
        </w:tc>
      </w:tr>
      <w:tr>
        <w:trPr>
          <w:trHeight w:val="244"/>
        </w:trPr>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Other noncurrent assets</w:t>
            </w:r>
          </w:p>
        </w:tc>
        <w:tc>
          <w:tcPr>
            <w:tcW w:w="54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60" w:type="dxa"/>
            <w:vAlign w:val="bottom"/>
          </w:tcPr>
          <w:p>
            <w:pPr>
              <w:spacing w:after="0"/>
              <w:rPr>
                <w:sz w:val="21"/>
                <w:szCs w:val="21"/>
                <w:color w:val="auto"/>
              </w:rPr>
            </w:pPr>
          </w:p>
        </w:tc>
      </w:tr>
      <w:tr>
        <w:trPr>
          <w:trHeight w:val="244"/>
        </w:trPr>
        <w:tc>
          <w:tcPr>
            <w:tcW w:w="8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Less: Liabilities assumed</w:t>
            </w:r>
          </w:p>
        </w:tc>
        <w:tc>
          <w:tcPr>
            <w:tcW w:w="540" w:type="dxa"/>
            <w:vAlign w:val="bottom"/>
            <w:shd w:val="clear" w:color="auto" w:fill="E1E1E1"/>
          </w:tcPr>
          <w:p>
            <w:pPr>
              <w:spacing w:after="0"/>
              <w:rPr>
                <w:sz w:val="21"/>
                <w:szCs w:val="21"/>
                <w:color w:val="auto"/>
              </w:rPr>
            </w:pPr>
          </w:p>
        </w:tc>
        <w:tc>
          <w:tcPr>
            <w:tcW w:w="220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r>
      <w:tr>
        <w:trPr>
          <w:trHeight w:val="223"/>
        </w:trPr>
        <w:tc>
          <w:tcPr>
            <w:tcW w:w="8000" w:type="dxa"/>
            <w:vAlign w:val="bottom"/>
          </w:tcPr>
          <w:p>
            <w:pPr>
              <w:ind w:left="100"/>
              <w:spacing w:after="0" w:line="223" w:lineRule="exact"/>
              <w:rPr>
                <w:sz w:val="20"/>
                <w:szCs w:val="20"/>
                <w:color w:val="auto"/>
              </w:rPr>
            </w:pPr>
            <w:r>
              <w:rPr>
                <w:rFonts w:ascii="Times New Roman" w:cs="Times New Roman" w:eastAsia="Times New Roman" w:hAnsi="Times New Roman"/>
                <w:sz w:val="20"/>
                <w:szCs w:val="20"/>
                <w:color w:val="1E1E1E"/>
              </w:rPr>
              <w:t>Accounts payable and accrued and</w:t>
            </w: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1"/>
        </w:trPr>
        <w:tc>
          <w:tcPr>
            <w:tcW w:w="8000" w:type="dxa"/>
            <w:vAlign w:val="bottom"/>
          </w:tcPr>
          <w:p>
            <w:pPr>
              <w:ind w:left="260"/>
              <w:spacing w:after="0"/>
              <w:rPr>
                <w:sz w:val="20"/>
                <w:szCs w:val="20"/>
                <w:color w:val="auto"/>
              </w:rPr>
            </w:pPr>
            <w:r>
              <w:rPr>
                <w:rFonts w:ascii="Times New Roman" w:cs="Times New Roman" w:eastAsia="Times New Roman" w:hAnsi="Times New Roman"/>
                <w:sz w:val="20"/>
                <w:szCs w:val="20"/>
                <w:color w:val="1E1E1E"/>
              </w:rPr>
              <w:t>other liabilities</w:t>
            </w:r>
          </w:p>
        </w:tc>
        <w:tc>
          <w:tcPr>
            <w:tcW w:w="54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60" w:type="dxa"/>
            <w:vAlign w:val="bottom"/>
          </w:tcPr>
          <w:p>
            <w:pPr>
              <w:spacing w:after="0"/>
              <w:rPr>
                <w:sz w:val="21"/>
                <w:szCs w:val="21"/>
                <w:color w:val="auto"/>
              </w:rPr>
            </w:pPr>
          </w:p>
        </w:tc>
      </w:tr>
      <w:tr>
        <w:trPr>
          <w:trHeight w:val="244"/>
        </w:trPr>
        <w:tc>
          <w:tcPr>
            <w:tcW w:w="80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Other noncurrent liabilities</w:t>
            </w:r>
          </w:p>
        </w:tc>
        <w:tc>
          <w:tcPr>
            <w:tcW w:w="540" w:type="dxa"/>
            <w:vAlign w:val="bottom"/>
            <w:tcBorders>
              <w:bottom w:val="single" w:sz="8" w:color="1E1E1E"/>
            </w:tcBorders>
            <w:shd w:val="clear" w:color="auto" w:fill="E1E1E1"/>
          </w:tcPr>
          <w:p>
            <w:pPr>
              <w:spacing w:after="0"/>
              <w:rPr>
                <w:sz w:val="21"/>
                <w:szCs w:val="21"/>
                <w:color w:val="auto"/>
              </w:rPr>
            </w:pPr>
          </w:p>
        </w:tc>
        <w:tc>
          <w:tcPr>
            <w:tcW w:w="22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60" w:type="dxa"/>
            <w:vAlign w:val="bottom"/>
            <w:shd w:val="clear" w:color="auto" w:fill="E1E1E1"/>
          </w:tcPr>
          <w:p>
            <w:pPr>
              <w:spacing w:after="0"/>
              <w:rPr>
                <w:sz w:val="21"/>
                <w:szCs w:val="21"/>
                <w:color w:val="auto"/>
              </w:rPr>
            </w:pPr>
          </w:p>
        </w:tc>
      </w:tr>
      <w:tr>
        <w:trPr>
          <w:trHeight w:val="239"/>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1E1E1E"/>
              </w:rPr>
              <w:t>Fair value allocated to net assets acquired</w:t>
            </w:r>
          </w:p>
        </w:tc>
        <w:tc>
          <w:tcPr>
            <w:tcW w:w="540" w:type="dxa"/>
            <w:vAlign w:val="bottom"/>
            <w:tcBorders>
              <w:bottom w:val="single" w:sz="8" w:color="1E1E1E"/>
            </w:tcBorders>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2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45.1</w:t>
            </w:r>
          </w:p>
        </w:tc>
        <w:tc>
          <w:tcPr>
            <w:tcW w:w="60" w:type="dxa"/>
            <w:vAlign w:val="bottom"/>
          </w:tcPr>
          <w:p>
            <w:pPr>
              <w:spacing w:after="0"/>
              <w:rPr>
                <w:sz w:val="20"/>
                <w:szCs w:val="20"/>
                <w:color w:val="auto"/>
              </w:rPr>
            </w:pPr>
          </w:p>
        </w:tc>
      </w:tr>
      <w:tr>
        <w:trPr>
          <w:trHeight w:val="20"/>
        </w:trPr>
        <w:tc>
          <w:tcPr>
            <w:tcW w:w="800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220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0" w:lineRule="exact"/>
        <w:rPr>
          <w:sz w:val="20"/>
          <w:szCs w:val="20"/>
          <w:color w:val="auto"/>
        </w:rPr>
      </w:pPr>
    </w:p>
    <w:p>
      <w:pPr>
        <w:ind w:left="480" w:right="220" w:hanging="480"/>
        <w:spacing w:after="0" w:line="280" w:lineRule="auto"/>
        <w:tabs>
          <w:tab w:leader="none" w:pos="480" w:val="left"/>
        </w:tabs>
        <w:numPr>
          <w:ilvl w:val="0"/>
          <w:numId w:val="4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fair value of accounts receivable, net was determined to be $3.5 million with a gross contractual amount of $12.2 million and an uncollectible amount of $8.7 million.</w:t>
      </w:r>
    </w:p>
    <w:p>
      <w:pPr>
        <w:spacing w:after="0" w:line="166"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20"/>
          <w:szCs w:val="20"/>
          <w:color w:val="1E1E1E"/>
        </w:rPr>
        <w:t>The impact of measurement period adjustments to the Consolidated Statements of Operations was immaterial for the years ended December 31, 2025 and 2024.</w:t>
      </w:r>
    </w:p>
    <w:p>
      <w:pPr>
        <w:spacing w:after="0" w:line="165"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20"/>
          <w:szCs w:val="20"/>
          <w:color w:val="1E1E1E"/>
        </w:rPr>
        <w:t>The goodwill arising from the transaction is believed to result from the company’s reputation in the marketplace and assembled workforce and is expected to be fully deductible for income tax purposes.</w:t>
      </w:r>
    </w:p>
    <w:p>
      <w:pPr>
        <w:spacing w:after="0" w:line="282" w:lineRule="exact"/>
        <w:rPr>
          <w:sz w:val="20"/>
          <w:szCs w:val="20"/>
          <w:color w:val="auto"/>
        </w:rPr>
      </w:pPr>
    </w:p>
    <w:p>
      <w:pPr>
        <w:ind w:right="8960"/>
        <w:spacing w:after="0" w:line="366" w:lineRule="auto"/>
        <w:tabs>
          <w:tab w:leader="none" w:pos="350" w:val="left"/>
        </w:tabs>
        <w:numPr>
          <w:ilvl w:val="0"/>
          <w:numId w:val="4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 xml:space="preserve">DIVESTITURES </w:t>
      </w:r>
      <w:r>
        <w:rPr>
          <w:rFonts w:ascii="Times New Roman" w:cs="Times New Roman" w:eastAsia="Times New Roman" w:hAnsi="Times New Roman"/>
          <w:sz w:val="20"/>
          <w:szCs w:val="20"/>
          <w:i w:val="1"/>
          <w:iCs w:val="1"/>
          <w:color w:val="1E1E1E"/>
        </w:rPr>
        <w:t>CCS Segment:</w:t>
      </w:r>
    </w:p>
    <w:p>
      <w:pPr>
        <w:spacing w:after="0" w:line="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1E1E1E"/>
        </w:rPr>
        <w:t>On August 3, 2025, the Company entered into a Purchase Agreement with Amphenol Corporation, a Delaware corporation (Amphenol), pursuant to which Amphenol agreed to acquire the Company’s CCS segment in exchange for $10.5 billion in cash, subject to certain adjustments. The CCS segment provides wired infrastructure for data centers, enterprises and service providers on a global scale. Following shareholder approval, which was obtained on October 16, 2025, the divestiture of the CCS segment met the “held for sale” criteria per ASC 360-10. The Company determined, qualitatively and quantitatively, that this transaction represented a strategic shift that would have a major effect on its operations and financial results. As such, the results of operations directly attributable to the CCS segment have been reclassified to discontinued operations per ASC 205-20 on the Consolidated Statements of Operations, retrospectively for all periods presented beginning in the fourth quarter of 2025. In addition, all assets and liabilities have been classified as assets and liabilities held for sale on the Consolidated Balance Sheets for all periods presented. The sale was completed subsequent to the fiscal year end on January 9, 2026. In connection with the transaction and as required by the Purchase Agreement, the Company repaid and issued notices of full redemption of its existing indebtedness, as well as redeemed its Convertible Preferred Stock, subsequent to fiscal year end on the closing date. For further discussion of the sale of the CCS segment, see Note 19 in these consolidated financial statements.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OWN Segment and DAS business unit:</w:t>
      </w:r>
    </w:p>
    <w:p>
      <w:pPr>
        <w:spacing w:after="0" w:line="117"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0"/>
          <w:szCs w:val="20"/>
          <w:color w:val="1E1E1E"/>
        </w:rPr>
        <w:t>On January 31, 2025, the Company completed the previously announced sale of the OWN segment and the DAS business unit of the NICS segment to Amphenol, pursuant to the Purchase Agreement dated July 18, 2024, in exchange for net cash consideration of $2.0 billion. The proceeds are net of $9.1 million of transaction expenses and $83.2 million of cash included in the assets sold.</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74</w:t>
      </w:r>
    </w:p>
    <w:p>
      <w:pPr>
        <w:sectPr>
          <w:pgSz w:w="11880" w:h="15480" w:orient="portrait"/>
          <w:cols w:equalWidth="0" w:num="1">
            <w:col w:w="10800"/>
          </w:cols>
          <w:pgMar w:left="540" w:top="515" w:right="540" w:bottom="0" w:gutter="0" w:footer="0" w:header="0"/>
          <w:type w:val="continuous"/>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The OWN segment and DAS business unit met the “held for sale” criteria per ASC 360-10 in the third quarter of 2024, and the Company determined, qualitatively and quantitatively, that this transaction represented a strategic shift that would have a major effect on the Company’s operations and financial results. As such, the results of operations directly attributable to the OWN segment and DAS business unit have been reclassified to discontinued operations per ASC 205-20 on the Consolidated Statements of Operations, retrospectively for all periods presented beginning in the third quarter of 2024. In addition, all assets and liabilities of the OWN segment and DAS business unit were classified as assets and liabilities held for sale on the Consolidated Balance Sheets as of December 31, 2024. Upon the closing of the transaction on January 31, 2025, the Company recognized a gain of $498.2 million on the disposal of the OWN segment and DAS business unit, which is included in income (loss) from discontinued operations, net of income taxes, on the Consolidated Statements of Operations for the year ended December 31, 2025.</w:t>
      </w:r>
    </w:p>
    <w:p>
      <w:pPr>
        <w:spacing w:after="0" w:line="2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1E1E1E"/>
        </w:rPr>
        <w:t>In connection with the transaction, the Company entered into several contractual arrangements with Amphenol, including a Transition Service Agreement (Amphenol TSA) (as described below under “Transition Service Agreements”), Manufacturing Supply Agreement (Amphenol MSA), Sales and Supply Agreement and a Master Professional Services Agreement.</w:t>
      </w:r>
    </w:p>
    <w:p>
      <w:pPr>
        <w:spacing w:after="0" w:line="185"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1E1E1E"/>
        </w:rPr>
        <w:t>Under the Amphenol MSA, the Company continues to manufacture and supply certain products to the divested business. Under the terms of the Amphenol MSA, the Company was obligated to provide manufacturing services for a period of up to twelve months following the closing date of the transaction, unless earlier terminated by the parties. The agreement was entered into to facilitate the operational transition and ensure continuity of supply for Amphenol’s customers. Pursuant to the Amphenol MSA, the Company acquired components directly from Amphenol and was also responsible for procuring certain components from suppliers for the manufacturing of finished goods at the direction of Amphenol. As the Company does not obtain control of these components before they were transferred to Amphenol, the Company accounts for revenue associated with such components on a net basis. For the year ended December 31, 2025, the Company recognized net revenues of $5.4 million under the Amphenol MSA presented within income (loss) from discontinued operations, net of income taxes, on the Consolidated Statements of Operations.</w:t>
      </w:r>
    </w:p>
    <w:p>
      <w:pPr>
        <w:spacing w:after="0" w:line="2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The Sales and Supply Agreement and Master Professional Services Agreement, enable the companies to act as both a buyer and seller of each other’s products and services in instances where those offerings might be integral to the Company’s remaining operations. The Sales and Supply Agreement is effective for a term of thirty-six months and the Master Professional Services Agreement term is indefinite, unless either of the agreements are terminated early. The Company has evaluated these arrangements and concluded that while they represent ongoing business activity, they do not constitute a continuation of the disposed business. Accordingly, revenues and expenses generated from these agreements are presented within income (loss) from continuing operations on the Consolidated Statements of Operations.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Home Networks business:</w:t>
      </w:r>
    </w:p>
    <w:p>
      <w:pPr>
        <w:spacing w:after="0" w:line="11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In January 2024, the Company completed the sale of the Home business to Vantiva SA (Vantiva) pursuant to the Call Option Agreement entered into on October 2, 2023 and the Purchase Agreement dated as of December 7, 2023, in exchange for (i) 134,704,669 shares of Vantiva common stock representing a 24.73% equity stake in Vantiva (determined on a fully diluted basis), (ii) $250,465 in cash (in addition to cash paid in exchange for the cash on the Home business companies’ balance sheets) and (iii) an earn-out of up to $100 million in the aggregate. The earn-out payments are contingent upon Vantiva achieving adjusted EBITDA equal to or greater than €400 million for one or more of Vantiva’s first five fiscal years following the closing of the transaction. The earn-out payment with respect to any fiscal year will be subject to an additional annual cap, the amount of which will depend on certain elections made by the Company following Vantiva reaching the €400 million adjusted EBITDA threshold for the first time, and on Vantiva’s maintenance of certain liquidity levels (after giving effect to such payment).</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The Home business qualified as “held for sale” per ASC 360-10 in the fourth quarter of 2023 and was classified as a discontinued operation per ASC 205-20, as the Company determined, qualitatively and quantitatively, that this transaction represented a strategic shift that would have a major effect on the Company’s operations and financial results. As such, activity directly attributable to the Home business has been removed from continuing operations and presented in income (loss) from discontinued operations, net of income taxes, on the Consolidated Statements of Operations for all periods presented. In addition, all assets and liabilities of the Home business were classified as assets and liabilities held for sale on the Consolidated Balance Sheets as of December 31, 2023. In connection with the “held for sale” classification, the Company recognized a loss on classification as held for sale of $203.4 million, based on Level 3 valuation inputs, in the fourth quarter of 2023. Upon the closing of the transaction on January 9, 2024, the Company recognized an additional loss of $56.4 million on the disposal of the Home business for the year ended December 31, 2024.</w:t>
      </w:r>
    </w:p>
    <w:p>
      <w:pPr>
        <w:sectPr>
          <w:pgSz w:w="11880" w:h="15480" w:orient="portrait"/>
          <w:cols w:equalWidth="0" w:num="1">
            <w:col w:w="10780"/>
          </w:cols>
          <w:pgMar w:left="540" w:top="51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75</w:t>
      </w:r>
    </w:p>
    <w:p>
      <w:pPr>
        <w:sectPr>
          <w:pgSz w:w="11880" w:h="15480" w:orient="portrait"/>
          <w:cols w:equalWidth="0" w:num="1">
            <w:col w:w="10780"/>
          </w:cols>
          <w:pgMar w:left="540" w:top="515" w:right="56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1E1E1E"/>
        </w:rPr>
        <w:t>Following the closing of the transaction, the Company entered into a Transition Service Agreement (Vantiva TSA), whereby the Company provided and received certain post-closing support on a transitional basis (as described below under “Transition Service Agreements”), and a Supply Agreement with Vantiva (Vantiva Supply Agreement), whereby the Company sold certain retained inventory at cost, or market price if below cost, for a period of two years.</w:t>
      </w:r>
    </w:p>
    <w:p>
      <w:pPr>
        <w:spacing w:after="0" w:line="19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The Company’s investment in Vantiva is accounted for using the equity method of accounting, and the carrying value of the investment is included in other noncurrent assets on the Consolidated Balance Sheets. The Company recognized a loss on its investment of $17.0 million during the year ended December 31, 2024, as a result of recording its proportionate share of loss on its equity investment, which is recorded on a one-quarter lag basis in income (loss) from discontinued operations, net of income taxes, on the Consolidated Statements of Operations beginning in the second quarter of 2024.</w:t>
      </w:r>
    </w:p>
    <w:p>
      <w:pPr>
        <w:spacing w:after="0" w:line="19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1E1E1E"/>
        </w:rPr>
        <w:t>The following table presents the summarized components of income (loss) from discontinued operations, net of income taxes, for the years ended December 31, 2025, 2024 and 2023, for each discontinued operation: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20" w:type="dxa"/>
            <w:vAlign w:val="bottom"/>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620" w:type="dxa"/>
            <w:vAlign w:val="bottom"/>
            <w:tcBorders>
              <w:bottom w:val="single" w:sz="8" w:color="1E1E1E"/>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1E1E1E"/>
              </w:rPr>
              <w:t>CCS</w:t>
            </w: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20" w:type="dxa"/>
            <w:vAlign w:val="bottom"/>
            <w:tcBorders>
              <w:bottom w:val="single" w:sz="8" w:color="1E1E1E"/>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140" w:type="dxa"/>
            <w:vAlign w:val="bottom"/>
            <w:tcBorders>
              <w:bottom w:val="single" w:sz="8" w:color="1E1E1E"/>
            </w:tcBorders>
          </w:tcPr>
          <w:p>
            <w:pPr>
              <w:spacing w:after="0"/>
              <w:rPr>
                <w:sz w:val="15"/>
                <w:szCs w:val="15"/>
                <w:color w:val="auto"/>
              </w:rPr>
            </w:pPr>
          </w:p>
        </w:tc>
        <w:tc>
          <w:tcPr>
            <w:tcW w:w="760" w:type="dxa"/>
            <w:vAlign w:val="bottom"/>
            <w:tcBorders>
              <w:bottom w:val="single" w:sz="8" w:color="1E1E1E"/>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1E1E1E"/>
              </w:rPr>
              <w:t>OWN</w:t>
            </w:r>
          </w:p>
        </w:tc>
        <w:tc>
          <w:tcPr>
            <w:tcW w:w="120" w:type="dxa"/>
            <w:vAlign w:val="bottom"/>
            <w:tcBorders>
              <w:bottom w:val="single" w:sz="8" w:color="1E1E1E"/>
            </w:tcBorders>
          </w:tcPr>
          <w:p>
            <w:pPr>
              <w:spacing w:after="0"/>
              <w:rPr>
                <w:sz w:val="15"/>
                <w:szCs w:val="15"/>
                <w:color w:val="auto"/>
              </w:rPr>
            </w:pPr>
          </w:p>
        </w:tc>
        <w:tc>
          <w:tcPr>
            <w:tcW w:w="520" w:type="dxa"/>
            <w:vAlign w:val="bottom"/>
            <w:tcBorders>
              <w:bottom w:val="single" w:sz="8" w:color="1E1E1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600" w:type="dxa"/>
            <w:vAlign w:val="bottom"/>
            <w:tcBorders>
              <w:bottom w:val="single" w:sz="8" w:color="1E1E1E"/>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1E1E1E"/>
              </w:rPr>
              <w:t>DAS</w:t>
            </w:r>
          </w:p>
        </w:tc>
        <w:tc>
          <w:tcPr>
            <w:tcW w:w="120" w:type="dxa"/>
            <w:vAlign w:val="bottom"/>
            <w:tcBorders>
              <w:bottom w:val="single" w:sz="8" w:color="1E1E1E"/>
            </w:tcBorders>
          </w:tcPr>
          <w:p>
            <w:pPr>
              <w:spacing w:after="0"/>
              <w:rPr>
                <w:sz w:val="15"/>
                <w:szCs w:val="15"/>
                <w:color w:val="auto"/>
              </w:rPr>
            </w:pPr>
          </w:p>
        </w:tc>
        <w:tc>
          <w:tcPr>
            <w:tcW w:w="520" w:type="dxa"/>
            <w:vAlign w:val="bottom"/>
            <w:tcBorders>
              <w:bottom w:val="single" w:sz="8" w:color="1E1E1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640" w:type="dxa"/>
            <w:vAlign w:val="bottom"/>
            <w:tcBorders>
              <w:bottom w:val="single" w:sz="8" w:color="1E1E1E"/>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1E1E1E"/>
              </w:rPr>
              <w:t>Home</w:t>
            </w: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92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0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2025</w:t>
            </w:r>
          </w:p>
        </w:tc>
        <w:tc>
          <w:tcPr>
            <w:tcW w:w="10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2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2024</w:t>
            </w:r>
          </w:p>
        </w:tc>
        <w:tc>
          <w:tcPr>
            <w:tcW w:w="10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0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2023</w:t>
            </w:r>
          </w:p>
        </w:tc>
        <w:tc>
          <w:tcPr>
            <w:tcW w:w="10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2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2025</w:t>
            </w:r>
          </w:p>
        </w:tc>
        <w:tc>
          <w:tcPr>
            <w:tcW w:w="100" w:type="dxa"/>
            <w:vAlign w:val="bottom"/>
            <w:tcBorders>
              <w:bottom w:val="single" w:sz="8" w:color="E1E1E1"/>
            </w:tcBorders>
          </w:tcPr>
          <w:p>
            <w:pPr>
              <w:spacing w:after="0"/>
              <w:rPr>
                <w:sz w:val="14"/>
                <w:szCs w:val="14"/>
                <w:color w:val="auto"/>
              </w:rPr>
            </w:pPr>
          </w:p>
        </w:tc>
        <w:tc>
          <w:tcPr>
            <w:tcW w:w="140" w:type="dxa"/>
            <w:vAlign w:val="bottom"/>
            <w:tcBorders>
              <w:bottom w:val="single" w:sz="8" w:color="1E1E1E"/>
            </w:tcBorders>
          </w:tcPr>
          <w:p>
            <w:pPr>
              <w:spacing w:after="0"/>
              <w:rPr>
                <w:sz w:val="14"/>
                <w:szCs w:val="14"/>
                <w:color w:val="auto"/>
              </w:rPr>
            </w:pPr>
          </w:p>
        </w:tc>
        <w:tc>
          <w:tcPr>
            <w:tcW w:w="660" w:type="dxa"/>
            <w:vAlign w:val="bottom"/>
            <w:tcBorders>
              <w:bottom w:val="single" w:sz="8" w:color="1E1E1E"/>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1E1E1E"/>
              </w:rPr>
              <w:t>2024</w:t>
            </w:r>
          </w:p>
        </w:tc>
        <w:tc>
          <w:tcPr>
            <w:tcW w:w="10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2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2023</w:t>
            </w:r>
          </w:p>
        </w:tc>
        <w:tc>
          <w:tcPr>
            <w:tcW w:w="10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0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2025</w:t>
            </w:r>
          </w:p>
        </w:tc>
        <w:tc>
          <w:tcPr>
            <w:tcW w:w="10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0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2024</w:t>
            </w:r>
          </w:p>
        </w:tc>
        <w:tc>
          <w:tcPr>
            <w:tcW w:w="10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2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2023</w:t>
            </w:r>
          </w:p>
        </w:tc>
        <w:tc>
          <w:tcPr>
            <w:tcW w:w="10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0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2025</w:t>
            </w:r>
          </w:p>
        </w:tc>
        <w:tc>
          <w:tcPr>
            <w:tcW w:w="100" w:type="dxa"/>
            <w:vAlign w:val="bottom"/>
            <w:tcBorders>
              <w:bottom w:val="single" w:sz="8" w:color="E1E1E1"/>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54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2024</w:t>
            </w:r>
          </w:p>
        </w:tc>
        <w:tc>
          <w:tcPr>
            <w:tcW w:w="100" w:type="dxa"/>
            <w:vAlign w:val="bottom"/>
            <w:tcBorders>
              <w:bottom w:val="single" w:sz="8" w:color="E1E1E1"/>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500" w:type="dxa"/>
            <w:vAlign w:val="bottom"/>
            <w:tcBorders>
              <w:bottom w:val="single" w:sz="8" w:color="1E1E1E"/>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1E1E1E"/>
              </w:rPr>
              <w:t>2023</w:t>
            </w:r>
          </w:p>
        </w:tc>
        <w:tc>
          <w:tcPr>
            <w:tcW w:w="60" w:type="dxa"/>
            <w:vAlign w:val="bottom"/>
            <w:tcBorders>
              <w:bottom w:val="single" w:sz="8" w:color="E1E1E1"/>
            </w:tcBorders>
          </w:tcPr>
          <w:p>
            <w:pPr>
              <w:spacing w:after="0"/>
              <w:rPr>
                <w:sz w:val="14"/>
                <w:szCs w:val="14"/>
                <w:color w:val="auto"/>
              </w:rPr>
            </w:pPr>
          </w:p>
        </w:tc>
      </w:tr>
      <w:tr>
        <w:trPr>
          <w:trHeight w:val="170"/>
        </w:trPr>
        <w:tc>
          <w:tcPr>
            <w:tcW w:w="1920" w:type="dxa"/>
            <w:vAlign w:val="bottom"/>
            <w:shd w:val="clear" w:color="auto" w:fill="E1E1E1"/>
          </w:tcPr>
          <w:p>
            <w:pPr>
              <w:spacing w:after="0"/>
              <w:rPr>
                <w:sz w:val="20"/>
                <w:szCs w:val="20"/>
                <w:color w:val="auto"/>
              </w:rPr>
            </w:pPr>
            <w:r>
              <w:rPr>
                <w:rFonts w:ascii="Times New Roman" w:cs="Times New Roman" w:eastAsia="Times New Roman" w:hAnsi="Times New Roman"/>
                <w:sz w:val="14"/>
                <w:szCs w:val="14"/>
                <w:color w:val="1E1E1E"/>
              </w:rPr>
              <w:t>Net sales</w:t>
            </w:r>
          </w:p>
        </w:tc>
        <w:tc>
          <w:tcPr>
            <w:tcW w:w="120" w:type="dxa"/>
            <w:vAlign w:val="bottom"/>
            <w:shd w:val="clear" w:color="auto" w:fill="E1E1E1"/>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3,754.5</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2,823.2</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2,701.3</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90.8</w:t>
            </w:r>
          </w:p>
        </w:tc>
        <w:tc>
          <w:tcPr>
            <w:tcW w:w="100" w:type="dxa"/>
            <w:vAlign w:val="bottom"/>
            <w:shd w:val="clear" w:color="auto" w:fill="E1E1E1"/>
          </w:tcPr>
          <w:p>
            <w:pPr>
              <w:spacing w:after="0"/>
              <w:rPr>
                <w:sz w:val="14"/>
                <w:szCs w:val="14"/>
                <w:color w:val="auto"/>
              </w:rPr>
            </w:pPr>
          </w:p>
        </w:tc>
        <w:tc>
          <w:tcPr>
            <w:tcW w:w="140" w:type="dxa"/>
            <w:vAlign w:val="bottom"/>
            <w:shd w:val="clear" w:color="auto" w:fill="E1E1E1"/>
          </w:tcPr>
          <w:p>
            <w:pPr>
              <w:jc w:val="right"/>
              <w:ind w:right="25"/>
              <w:spacing w:after="0"/>
              <w:rPr>
                <w:sz w:val="20"/>
                <w:szCs w:val="20"/>
                <w:color w:val="auto"/>
              </w:rPr>
            </w:pPr>
            <w:r>
              <w:rPr>
                <w:rFonts w:ascii="Times New Roman" w:cs="Times New Roman" w:eastAsia="Times New Roman" w:hAnsi="Times New Roman"/>
                <w:sz w:val="11"/>
                <w:szCs w:val="11"/>
                <w:color w:val="1E1E1E"/>
                <w:w w:val="71"/>
              </w:rPr>
              <w:t>$</w:t>
            </w:r>
          </w:p>
        </w:tc>
        <w:tc>
          <w:tcPr>
            <w:tcW w:w="6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969.7</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880.0</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11.7</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296.1</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344.0</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14.5</w:t>
            </w:r>
          </w:p>
        </w:tc>
        <w:tc>
          <w:tcPr>
            <w:tcW w:w="100" w:type="dxa"/>
            <w:vAlign w:val="bottom"/>
            <w:shd w:val="clear" w:color="auto" w:fill="E1E1E1"/>
          </w:tcPr>
          <w:p>
            <w:pPr>
              <w:spacing w:after="0"/>
              <w:rPr>
                <w:sz w:val="14"/>
                <w:szCs w:val="14"/>
                <w:color w:val="auto"/>
              </w:rPr>
            </w:pP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55.5</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1,210.2</w:t>
            </w:r>
          </w:p>
        </w:tc>
        <w:tc>
          <w:tcPr>
            <w:tcW w:w="60" w:type="dxa"/>
            <w:vAlign w:val="bottom"/>
            <w:shd w:val="clear" w:color="auto" w:fill="E1E1E1"/>
          </w:tcPr>
          <w:p>
            <w:pPr>
              <w:spacing w:after="0"/>
              <w:rPr>
                <w:sz w:val="14"/>
                <w:szCs w:val="14"/>
                <w:color w:val="auto"/>
              </w:rPr>
            </w:pPr>
          </w:p>
        </w:tc>
      </w:tr>
      <w:tr>
        <w:trPr>
          <w:trHeight w:val="175"/>
        </w:trPr>
        <w:tc>
          <w:tcPr>
            <w:tcW w:w="1920" w:type="dxa"/>
            <w:vAlign w:val="bottom"/>
            <w:tcBorders>
              <w:bottom w:val="single" w:sz="8" w:color="E1E1E1"/>
            </w:tcBorders>
          </w:tcPr>
          <w:p>
            <w:pPr>
              <w:spacing w:after="0" w:line="175" w:lineRule="exact"/>
              <w:rPr>
                <w:sz w:val="20"/>
                <w:szCs w:val="20"/>
                <w:color w:val="auto"/>
              </w:rPr>
            </w:pPr>
            <w:r>
              <w:rPr>
                <w:rFonts w:ascii="Times New Roman" w:cs="Times New Roman" w:eastAsia="Times New Roman" w:hAnsi="Times New Roman"/>
                <w:sz w:val="14"/>
                <w:szCs w:val="14"/>
                <w:color w:val="1E1E1E"/>
              </w:rPr>
              <w:t xml:space="preserve">Cost of sales </w:t>
            </w:r>
            <w:r>
              <w:rPr>
                <w:rFonts w:ascii="Times New Roman" w:cs="Times New Roman" w:eastAsia="Times New Roman" w:hAnsi="Times New Roman"/>
                <w:sz w:val="18"/>
                <w:szCs w:val="18"/>
                <w:color w:val="1E1E1E"/>
                <w:vertAlign w:val="superscript"/>
              </w:rPr>
              <w:t>(1)</w:t>
            </w: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2,365.6</w:t>
            </w:r>
          </w:p>
        </w:tc>
        <w:tc>
          <w:tcPr>
            <w:tcW w:w="100" w:type="dxa"/>
            <w:vAlign w:val="bottom"/>
            <w:tcBorders>
              <w:bottom w:val="single" w:sz="8" w:color="E1E1E1"/>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1,851.4</w:t>
            </w:r>
          </w:p>
        </w:tc>
        <w:tc>
          <w:tcPr>
            <w:tcW w:w="100" w:type="dxa"/>
            <w:vAlign w:val="bottom"/>
            <w:tcBorders>
              <w:bottom w:val="single" w:sz="8" w:color="E1E1E1"/>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1,937.6</w:t>
            </w:r>
          </w:p>
        </w:tc>
        <w:tc>
          <w:tcPr>
            <w:tcW w:w="100" w:type="dxa"/>
            <w:vAlign w:val="bottom"/>
            <w:tcBorders>
              <w:bottom w:val="single" w:sz="8" w:color="E1E1E1"/>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50.0</w:t>
            </w:r>
          </w:p>
        </w:tc>
        <w:tc>
          <w:tcPr>
            <w:tcW w:w="100" w:type="dxa"/>
            <w:vAlign w:val="bottom"/>
            <w:tcBorders>
              <w:bottom w:val="single" w:sz="8" w:color="E1E1E1"/>
            </w:tcBorders>
          </w:tcPr>
          <w:p>
            <w:pPr>
              <w:spacing w:after="0"/>
              <w:rPr>
                <w:sz w:val="15"/>
                <w:szCs w:val="15"/>
                <w:color w:val="auto"/>
              </w:rPr>
            </w:pPr>
          </w:p>
        </w:tc>
        <w:tc>
          <w:tcPr>
            <w:tcW w:w="140" w:type="dxa"/>
            <w:vAlign w:val="bottom"/>
            <w:tcBorders>
              <w:bottom w:val="single" w:sz="8" w:color="1E1E1E"/>
            </w:tcBorders>
          </w:tcPr>
          <w:p>
            <w:pPr>
              <w:spacing w:after="0"/>
              <w:rPr>
                <w:sz w:val="15"/>
                <w:szCs w:val="15"/>
                <w:color w:val="auto"/>
              </w:rPr>
            </w:pPr>
          </w:p>
        </w:tc>
        <w:tc>
          <w:tcPr>
            <w:tcW w:w="6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556.1</w:t>
            </w:r>
          </w:p>
        </w:tc>
        <w:tc>
          <w:tcPr>
            <w:tcW w:w="100" w:type="dxa"/>
            <w:vAlign w:val="bottom"/>
            <w:tcBorders>
              <w:bottom w:val="single" w:sz="8" w:color="E1E1E1"/>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550.6</w:t>
            </w:r>
          </w:p>
        </w:tc>
        <w:tc>
          <w:tcPr>
            <w:tcW w:w="100" w:type="dxa"/>
            <w:vAlign w:val="bottom"/>
            <w:tcBorders>
              <w:bottom w:val="single" w:sz="8" w:color="E1E1E1"/>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9.8</w:t>
            </w:r>
          </w:p>
        </w:tc>
        <w:tc>
          <w:tcPr>
            <w:tcW w:w="100" w:type="dxa"/>
            <w:vAlign w:val="bottom"/>
            <w:tcBorders>
              <w:bottom w:val="single" w:sz="8" w:color="E1E1E1"/>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160.2</w:t>
            </w:r>
          </w:p>
        </w:tc>
        <w:tc>
          <w:tcPr>
            <w:tcW w:w="100" w:type="dxa"/>
            <w:vAlign w:val="bottom"/>
            <w:tcBorders>
              <w:bottom w:val="single" w:sz="8" w:color="E1E1E1"/>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191.7</w:t>
            </w:r>
          </w:p>
        </w:tc>
        <w:tc>
          <w:tcPr>
            <w:tcW w:w="100" w:type="dxa"/>
            <w:vAlign w:val="bottom"/>
            <w:tcBorders>
              <w:bottom w:val="single" w:sz="8" w:color="E1E1E1"/>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14.5</w:t>
            </w:r>
          </w:p>
        </w:tc>
        <w:tc>
          <w:tcPr>
            <w:tcW w:w="100" w:type="dxa"/>
            <w:vAlign w:val="bottom"/>
            <w:tcBorders>
              <w:bottom w:val="single" w:sz="8" w:color="E1E1E1"/>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70.5</w:t>
            </w:r>
          </w:p>
        </w:tc>
        <w:tc>
          <w:tcPr>
            <w:tcW w:w="100" w:type="dxa"/>
            <w:vAlign w:val="bottom"/>
            <w:tcBorders>
              <w:bottom w:val="single" w:sz="8" w:color="E1E1E1"/>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1,060.2</w:t>
            </w:r>
          </w:p>
        </w:tc>
        <w:tc>
          <w:tcPr>
            <w:tcW w:w="60" w:type="dxa"/>
            <w:vAlign w:val="bottom"/>
            <w:tcBorders>
              <w:bottom w:val="single" w:sz="8" w:color="E1E1E1"/>
            </w:tcBorders>
          </w:tcPr>
          <w:p>
            <w:pPr>
              <w:spacing w:after="0"/>
              <w:rPr>
                <w:sz w:val="15"/>
                <w:szCs w:val="15"/>
                <w:color w:val="auto"/>
              </w:rPr>
            </w:pPr>
          </w:p>
        </w:tc>
      </w:tr>
      <w:tr>
        <w:trPr>
          <w:trHeight w:val="170"/>
        </w:trPr>
        <w:tc>
          <w:tcPr>
            <w:tcW w:w="1920" w:type="dxa"/>
            <w:vAlign w:val="bottom"/>
            <w:shd w:val="clear" w:color="auto" w:fill="E1E1E1"/>
          </w:tcPr>
          <w:p>
            <w:pPr>
              <w:spacing w:after="0"/>
              <w:rPr>
                <w:sz w:val="20"/>
                <w:szCs w:val="20"/>
                <w:color w:val="auto"/>
              </w:rPr>
            </w:pPr>
            <w:r>
              <w:rPr>
                <w:rFonts w:ascii="Times New Roman" w:cs="Times New Roman" w:eastAsia="Times New Roman" w:hAnsi="Times New Roman"/>
                <w:sz w:val="14"/>
                <w:szCs w:val="14"/>
                <w:color w:val="1E1E1E"/>
              </w:rPr>
              <w:t>Gross profit (loss)</w:t>
            </w: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1,388.9</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971.8</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763.7</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40.8</w:t>
            </w:r>
          </w:p>
        </w:tc>
        <w:tc>
          <w:tcPr>
            <w:tcW w:w="100" w:type="dxa"/>
            <w:vAlign w:val="bottom"/>
            <w:shd w:val="clear" w:color="auto" w:fill="E1E1E1"/>
          </w:tcPr>
          <w:p>
            <w:pPr>
              <w:spacing w:after="0"/>
              <w:rPr>
                <w:sz w:val="14"/>
                <w:szCs w:val="14"/>
                <w:color w:val="auto"/>
              </w:rPr>
            </w:pPr>
          </w:p>
        </w:tc>
        <w:tc>
          <w:tcPr>
            <w:tcW w:w="140" w:type="dxa"/>
            <w:vAlign w:val="bottom"/>
            <w:shd w:val="clear" w:color="auto" w:fill="E1E1E1"/>
          </w:tcPr>
          <w:p>
            <w:pPr>
              <w:spacing w:after="0"/>
              <w:rPr>
                <w:sz w:val="14"/>
                <w:szCs w:val="14"/>
                <w:color w:val="auto"/>
              </w:rPr>
            </w:pPr>
          </w:p>
        </w:tc>
        <w:tc>
          <w:tcPr>
            <w:tcW w:w="6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413.6</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329.4</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1.9</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135.9</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152.3</w:t>
            </w: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(15.0</w:t>
            </w:r>
          </w:p>
        </w:tc>
        <w:tc>
          <w:tcPr>
            <w:tcW w:w="100" w:type="dxa"/>
            <w:vAlign w:val="bottom"/>
            <w:shd w:val="clear" w:color="auto" w:fill="E1E1E1"/>
          </w:tcPr>
          <w:p>
            <w:pPr>
              <w:jc w:val="right"/>
              <w:ind w:right="20"/>
              <w:spacing w:after="0"/>
              <w:rPr>
                <w:sz w:val="20"/>
                <w:szCs w:val="20"/>
                <w:color w:val="auto"/>
              </w:rPr>
            </w:pPr>
            <w:r>
              <w:rPr>
                <w:rFonts w:ascii="Times New Roman" w:cs="Times New Roman" w:eastAsia="Times New Roman" w:hAnsi="Times New Roman"/>
                <w:sz w:val="8"/>
                <w:szCs w:val="8"/>
                <w:color w:val="1E1E1E"/>
                <w:w w:val="73"/>
                <w:shd w:val="clear" w:color="auto" w:fill="E1E1E1"/>
              </w:rPr>
              <w:t>)</w:t>
            </w: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150.0</w:t>
            </w:r>
          </w:p>
        </w:tc>
        <w:tc>
          <w:tcPr>
            <w:tcW w:w="60" w:type="dxa"/>
            <w:vAlign w:val="bottom"/>
            <w:shd w:val="clear" w:color="auto" w:fill="E1E1E1"/>
          </w:tcPr>
          <w:p>
            <w:pPr>
              <w:spacing w:after="0"/>
              <w:rPr>
                <w:sz w:val="14"/>
                <w:szCs w:val="14"/>
                <w:color w:val="auto"/>
              </w:rPr>
            </w:pPr>
          </w:p>
        </w:tc>
      </w:tr>
      <w:tr>
        <w:trPr>
          <w:trHeight w:val="175"/>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1E1E1E"/>
              </w:rPr>
              <w:t>Operating expenses: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0"/>
        </w:trPr>
        <w:tc>
          <w:tcPr>
            <w:tcW w:w="1920" w:type="dxa"/>
            <w:vAlign w:val="bottom"/>
            <w:shd w:val="clear" w:color="auto" w:fill="E1E1E1"/>
          </w:tcPr>
          <w:p>
            <w:pPr>
              <w:ind w:left="80"/>
              <w:spacing w:after="0"/>
              <w:rPr>
                <w:sz w:val="20"/>
                <w:szCs w:val="20"/>
                <w:color w:val="auto"/>
              </w:rPr>
            </w:pPr>
            <w:r>
              <w:rPr>
                <w:rFonts w:ascii="Times New Roman" w:cs="Times New Roman" w:eastAsia="Times New Roman" w:hAnsi="Times New Roman"/>
                <w:sz w:val="14"/>
                <w:szCs w:val="14"/>
                <w:color w:val="1E1E1E"/>
              </w:rPr>
              <w:t>Selling, general and</w:t>
            </w: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40" w:type="dxa"/>
            <w:vAlign w:val="bottom"/>
            <w:shd w:val="clear" w:color="auto" w:fill="E1E1E1"/>
          </w:tcPr>
          <w:p>
            <w:pPr>
              <w:spacing w:after="0"/>
              <w:rPr>
                <w:sz w:val="13"/>
                <w:szCs w:val="13"/>
                <w:color w:val="auto"/>
              </w:rPr>
            </w:pPr>
          </w:p>
        </w:tc>
        <w:tc>
          <w:tcPr>
            <w:tcW w:w="66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54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60" w:type="dxa"/>
            <w:vAlign w:val="bottom"/>
            <w:shd w:val="clear" w:color="auto" w:fill="E1E1E1"/>
          </w:tcPr>
          <w:p>
            <w:pPr>
              <w:spacing w:after="0"/>
              <w:rPr>
                <w:sz w:val="13"/>
                <w:szCs w:val="13"/>
                <w:color w:val="auto"/>
              </w:rPr>
            </w:pPr>
          </w:p>
        </w:tc>
      </w:tr>
      <w:tr>
        <w:trPr>
          <w:trHeight w:val="176"/>
        </w:trPr>
        <w:tc>
          <w:tcPr>
            <w:tcW w:w="1920" w:type="dxa"/>
            <w:vAlign w:val="bottom"/>
            <w:shd w:val="clear" w:color="auto" w:fill="E1E1E1"/>
          </w:tcPr>
          <w:p>
            <w:pPr>
              <w:ind w:left="180"/>
              <w:spacing w:after="0"/>
              <w:rPr>
                <w:sz w:val="20"/>
                <w:szCs w:val="20"/>
                <w:color w:val="auto"/>
              </w:rPr>
            </w:pPr>
            <w:r>
              <w:rPr>
                <w:rFonts w:ascii="Times New Roman" w:cs="Times New Roman" w:eastAsia="Times New Roman" w:hAnsi="Times New Roman"/>
                <w:sz w:val="14"/>
                <w:szCs w:val="14"/>
                <w:color w:val="1E1E1E"/>
              </w:rPr>
              <w:t>administrative</w:t>
            </w: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390.1</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283.5</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270.7</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24.5</w:t>
            </w:r>
          </w:p>
        </w:tc>
        <w:tc>
          <w:tcPr>
            <w:tcW w:w="100" w:type="dxa"/>
            <w:vAlign w:val="bottom"/>
            <w:shd w:val="clear" w:color="auto" w:fill="E1E1E1"/>
          </w:tcPr>
          <w:p>
            <w:pPr>
              <w:spacing w:after="0"/>
              <w:rPr>
                <w:sz w:val="15"/>
                <w:szCs w:val="15"/>
                <w:color w:val="auto"/>
              </w:rPr>
            </w:pPr>
          </w:p>
        </w:tc>
        <w:tc>
          <w:tcPr>
            <w:tcW w:w="140" w:type="dxa"/>
            <w:vAlign w:val="bottom"/>
            <w:shd w:val="clear" w:color="auto" w:fill="E1E1E1"/>
          </w:tcPr>
          <w:p>
            <w:pPr>
              <w:spacing w:after="0"/>
              <w:rPr>
                <w:sz w:val="15"/>
                <w:szCs w:val="15"/>
                <w:color w:val="auto"/>
              </w:rPr>
            </w:pPr>
          </w:p>
        </w:tc>
        <w:tc>
          <w:tcPr>
            <w:tcW w:w="6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73.2</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48.3</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3.4</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35.8</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41.8</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14"/>
                <w:szCs w:val="14"/>
                <w:color w:val="1E1E1E"/>
              </w:rPr>
              <w:t>(1.7)</w:t>
            </w:r>
          </w:p>
        </w:tc>
        <w:tc>
          <w:tcPr>
            <w:tcW w:w="100" w:type="dxa"/>
            <w:vAlign w:val="bottom"/>
            <w:shd w:val="clear" w:color="auto" w:fill="E1E1E1"/>
          </w:tcPr>
          <w:p>
            <w:pPr>
              <w:spacing w:after="0"/>
              <w:rPr>
                <w:sz w:val="15"/>
                <w:szCs w:val="15"/>
                <w:color w:val="auto"/>
              </w:rPr>
            </w:pPr>
          </w:p>
        </w:tc>
        <w:tc>
          <w:tcPr>
            <w:tcW w:w="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18.2</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96.9</w:t>
            </w:r>
          </w:p>
        </w:tc>
        <w:tc>
          <w:tcPr>
            <w:tcW w:w="60" w:type="dxa"/>
            <w:vAlign w:val="bottom"/>
            <w:shd w:val="clear" w:color="auto" w:fill="E1E1E1"/>
          </w:tcPr>
          <w:p>
            <w:pPr>
              <w:spacing w:after="0"/>
              <w:rPr>
                <w:sz w:val="15"/>
                <w:szCs w:val="15"/>
                <w:color w:val="auto"/>
              </w:rPr>
            </w:pPr>
          </w:p>
        </w:tc>
      </w:tr>
      <w:tr>
        <w:trPr>
          <w:trHeight w:val="175"/>
        </w:trPr>
        <w:tc>
          <w:tcPr>
            <w:tcW w:w="1920" w:type="dxa"/>
            <w:vAlign w:val="bottom"/>
          </w:tcPr>
          <w:p>
            <w:pPr>
              <w:ind w:left="80"/>
              <w:spacing w:after="0"/>
              <w:rPr>
                <w:sz w:val="20"/>
                <w:szCs w:val="20"/>
                <w:color w:val="auto"/>
              </w:rPr>
            </w:pPr>
            <w:r>
              <w:rPr>
                <w:rFonts w:ascii="Times New Roman" w:cs="Times New Roman" w:eastAsia="Times New Roman" w:hAnsi="Times New Roman"/>
                <w:sz w:val="14"/>
                <w:szCs w:val="14"/>
                <w:color w:val="1E1E1E"/>
              </w:rPr>
              <w:t>Research and development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74.9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68.7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64.3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50.9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46.4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30.2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30.2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98.3</w:t>
            </w:r>
          </w:p>
        </w:tc>
        <w:tc>
          <w:tcPr>
            <w:tcW w:w="60" w:type="dxa"/>
            <w:vAlign w:val="bottom"/>
          </w:tcPr>
          <w:p>
            <w:pPr>
              <w:spacing w:after="0"/>
              <w:rPr>
                <w:sz w:val="15"/>
                <w:szCs w:val="15"/>
                <w:color w:val="auto"/>
              </w:rPr>
            </w:pPr>
          </w:p>
        </w:tc>
      </w:tr>
      <w:tr>
        <w:trPr>
          <w:trHeight w:val="160"/>
        </w:trPr>
        <w:tc>
          <w:tcPr>
            <w:tcW w:w="1920" w:type="dxa"/>
            <w:vAlign w:val="bottom"/>
            <w:shd w:val="clear" w:color="auto" w:fill="E1E1E1"/>
          </w:tcPr>
          <w:p>
            <w:pPr>
              <w:ind w:left="80"/>
              <w:spacing w:after="0"/>
              <w:rPr>
                <w:sz w:val="20"/>
                <w:szCs w:val="20"/>
                <w:color w:val="auto"/>
              </w:rPr>
            </w:pPr>
            <w:r>
              <w:rPr>
                <w:rFonts w:ascii="Times New Roman" w:cs="Times New Roman" w:eastAsia="Times New Roman" w:hAnsi="Times New Roman"/>
                <w:sz w:val="14"/>
                <w:szCs w:val="14"/>
                <w:color w:val="1E1E1E"/>
              </w:rPr>
              <w:t>Amortization of purchased</w:t>
            </w: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40" w:type="dxa"/>
            <w:vAlign w:val="bottom"/>
            <w:shd w:val="clear" w:color="auto" w:fill="E1E1E1"/>
          </w:tcPr>
          <w:p>
            <w:pPr>
              <w:spacing w:after="0"/>
              <w:rPr>
                <w:sz w:val="13"/>
                <w:szCs w:val="13"/>
                <w:color w:val="auto"/>
              </w:rPr>
            </w:pPr>
          </w:p>
        </w:tc>
        <w:tc>
          <w:tcPr>
            <w:tcW w:w="66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54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60" w:type="dxa"/>
            <w:vAlign w:val="bottom"/>
            <w:shd w:val="clear" w:color="auto" w:fill="E1E1E1"/>
          </w:tcPr>
          <w:p>
            <w:pPr>
              <w:spacing w:after="0"/>
              <w:rPr>
                <w:sz w:val="13"/>
                <w:szCs w:val="13"/>
                <w:color w:val="auto"/>
              </w:rPr>
            </w:pPr>
          </w:p>
        </w:tc>
      </w:tr>
      <w:tr>
        <w:trPr>
          <w:trHeight w:val="176"/>
        </w:trPr>
        <w:tc>
          <w:tcPr>
            <w:tcW w:w="1920" w:type="dxa"/>
            <w:vAlign w:val="bottom"/>
            <w:shd w:val="clear" w:color="auto" w:fill="E1E1E1"/>
          </w:tcPr>
          <w:p>
            <w:pPr>
              <w:ind w:left="180"/>
              <w:spacing w:after="0"/>
              <w:rPr>
                <w:sz w:val="20"/>
                <w:szCs w:val="20"/>
                <w:color w:val="auto"/>
              </w:rPr>
            </w:pPr>
            <w:r>
              <w:rPr>
                <w:rFonts w:ascii="Times New Roman" w:cs="Times New Roman" w:eastAsia="Times New Roman" w:hAnsi="Times New Roman"/>
                <w:sz w:val="14"/>
                <w:szCs w:val="14"/>
                <w:color w:val="1E1E1E"/>
              </w:rPr>
              <w:t>intangible assets</w:t>
            </w: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56.0</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71.4</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74.0</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62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14"/>
                <w:szCs w:val="14"/>
                <w:color w:val="1E1E1E"/>
              </w:rPr>
              <w:t>—</w:t>
            </w:r>
          </w:p>
        </w:tc>
        <w:tc>
          <w:tcPr>
            <w:tcW w:w="140" w:type="dxa"/>
            <w:vAlign w:val="bottom"/>
            <w:shd w:val="clear" w:color="auto" w:fill="E1E1E1"/>
          </w:tcPr>
          <w:p>
            <w:pPr>
              <w:spacing w:after="0"/>
              <w:rPr>
                <w:sz w:val="15"/>
                <w:szCs w:val="15"/>
                <w:color w:val="auto"/>
              </w:rPr>
            </w:pPr>
          </w:p>
        </w:tc>
        <w:tc>
          <w:tcPr>
            <w:tcW w:w="6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8.5</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20.0</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8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3.1</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6.1</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5"/>
                <w:szCs w:val="15"/>
                <w:color w:val="auto"/>
              </w:rPr>
            </w:pPr>
          </w:p>
        </w:tc>
        <w:tc>
          <w:tcPr>
            <w:tcW w:w="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6.4</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83.4</w:t>
            </w:r>
          </w:p>
        </w:tc>
        <w:tc>
          <w:tcPr>
            <w:tcW w:w="60" w:type="dxa"/>
            <w:vAlign w:val="bottom"/>
            <w:shd w:val="clear" w:color="auto" w:fill="E1E1E1"/>
          </w:tcPr>
          <w:p>
            <w:pPr>
              <w:spacing w:after="0"/>
              <w:rPr>
                <w:sz w:val="15"/>
                <w:szCs w:val="15"/>
                <w:color w:val="auto"/>
              </w:rPr>
            </w:pPr>
          </w:p>
        </w:tc>
      </w:tr>
      <w:tr>
        <w:trPr>
          <w:trHeight w:val="160"/>
        </w:trPr>
        <w:tc>
          <w:tcPr>
            <w:tcW w:w="1920" w:type="dxa"/>
            <w:vAlign w:val="bottom"/>
          </w:tcPr>
          <w:p>
            <w:pPr>
              <w:ind w:left="80"/>
              <w:spacing w:after="0"/>
              <w:rPr>
                <w:sz w:val="20"/>
                <w:szCs w:val="20"/>
                <w:color w:val="auto"/>
              </w:rPr>
            </w:pPr>
            <w:r>
              <w:rPr>
                <w:rFonts w:ascii="Times New Roman" w:cs="Times New Roman" w:eastAsia="Times New Roman" w:hAnsi="Times New Roman"/>
                <w:sz w:val="14"/>
                <w:szCs w:val="14"/>
                <w:color w:val="1E1E1E"/>
              </w:rPr>
              <w:t>Restructuring costs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1E1E1E"/>
              </w:rPr>
              <w:t>(credits), net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(4.3)</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1E1E1E"/>
              </w:rPr>
              <w:t>(0.1)</w:t>
            </w: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1E1E1E"/>
              </w:rPr>
              <w:t>(0.1)</w:t>
            </w:r>
          </w:p>
        </w:tc>
        <w:tc>
          <w:tcPr>
            <w:tcW w:w="12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6.0</w:t>
            </w:r>
          </w:p>
        </w:tc>
        <w:tc>
          <w:tcPr>
            <w:tcW w:w="60" w:type="dxa"/>
            <w:vAlign w:val="bottom"/>
          </w:tcPr>
          <w:p>
            <w:pPr>
              <w:spacing w:after="0"/>
              <w:rPr>
                <w:sz w:val="15"/>
                <w:szCs w:val="15"/>
                <w:color w:val="auto"/>
              </w:rPr>
            </w:pPr>
          </w:p>
        </w:tc>
      </w:tr>
      <w:tr>
        <w:trPr>
          <w:trHeight w:val="186"/>
        </w:trPr>
        <w:tc>
          <w:tcPr>
            <w:tcW w:w="1920" w:type="dxa"/>
            <w:vAlign w:val="bottom"/>
            <w:shd w:val="clear" w:color="auto" w:fill="E1E1E1"/>
          </w:tcPr>
          <w:p>
            <w:pPr>
              <w:ind w:left="80"/>
              <w:spacing w:after="0" w:line="186" w:lineRule="exact"/>
              <w:rPr>
                <w:sz w:val="20"/>
                <w:szCs w:val="20"/>
                <w:color w:val="auto"/>
              </w:rPr>
            </w:pPr>
            <w:r>
              <w:rPr>
                <w:rFonts w:ascii="Times New Roman" w:cs="Times New Roman" w:eastAsia="Times New Roman" w:hAnsi="Times New Roman"/>
                <w:sz w:val="14"/>
                <w:szCs w:val="14"/>
                <w:color w:val="1E1E1E"/>
              </w:rPr>
              <w:t xml:space="preserve">Asset impairments </w:t>
            </w:r>
            <w:r>
              <w:rPr>
                <w:rFonts w:ascii="Times New Roman" w:cs="Times New Roman" w:eastAsia="Times New Roman" w:hAnsi="Times New Roman"/>
                <w:sz w:val="20"/>
                <w:szCs w:val="20"/>
                <w:color w:val="1E1E1E"/>
                <w:vertAlign w:val="superscript"/>
              </w:rPr>
              <w:t>(2)</w:t>
            </w:r>
          </w:p>
        </w:tc>
        <w:tc>
          <w:tcPr>
            <w:tcW w:w="120" w:type="dxa"/>
            <w:vAlign w:val="bottom"/>
            <w:tcBorders>
              <w:bottom w:val="single" w:sz="8" w:color="1E1E1E"/>
            </w:tcBorders>
            <w:shd w:val="clear" w:color="auto" w:fill="E1E1E1"/>
          </w:tcPr>
          <w:p>
            <w:pPr>
              <w:spacing w:after="0"/>
              <w:rPr>
                <w:sz w:val="16"/>
                <w:szCs w:val="16"/>
                <w:color w:val="auto"/>
              </w:rPr>
            </w:pPr>
          </w:p>
        </w:tc>
        <w:tc>
          <w:tcPr>
            <w:tcW w:w="5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6"/>
                <w:szCs w:val="16"/>
                <w:color w:val="auto"/>
              </w:rPr>
            </w:pPr>
          </w:p>
        </w:tc>
        <w:tc>
          <w:tcPr>
            <w:tcW w:w="120" w:type="dxa"/>
            <w:vAlign w:val="bottom"/>
            <w:tcBorders>
              <w:bottom w:val="single" w:sz="8" w:color="1E1E1E"/>
            </w:tcBorders>
            <w:shd w:val="clear" w:color="auto" w:fill="E1E1E1"/>
          </w:tcPr>
          <w:p>
            <w:pPr>
              <w:spacing w:after="0"/>
              <w:rPr>
                <w:sz w:val="16"/>
                <w:szCs w:val="16"/>
                <w:color w:val="auto"/>
              </w:rPr>
            </w:pPr>
          </w:p>
        </w:tc>
        <w:tc>
          <w:tcPr>
            <w:tcW w:w="5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6"/>
                <w:szCs w:val="16"/>
                <w:color w:val="auto"/>
              </w:rPr>
            </w:pPr>
          </w:p>
        </w:tc>
        <w:tc>
          <w:tcPr>
            <w:tcW w:w="120" w:type="dxa"/>
            <w:vAlign w:val="bottom"/>
            <w:tcBorders>
              <w:bottom w:val="single" w:sz="8" w:color="1E1E1E"/>
            </w:tcBorders>
            <w:shd w:val="clear" w:color="auto" w:fill="E1E1E1"/>
          </w:tcPr>
          <w:p>
            <w:pPr>
              <w:spacing w:after="0"/>
              <w:rPr>
                <w:sz w:val="16"/>
                <w:szCs w:val="16"/>
                <w:color w:val="auto"/>
              </w:rPr>
            </w:pPr>
          </w:p>
        </w:tc>
        <w:tc>
          <w:tcPr>
            <w:tcW w:w="5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99.1</w:t>
            </w:r>
          </w:p>
        </w:tc>
        <w:tc>
          <w:tcPr>
            <w:tcW w:w="100" w:type="dxa"/>
            <w:vAlign w:val="bottom"/>
            <w:shd w:val="clear" w:color="auto" w:fill="E1E1E1"/>
          </w:tcPr>
          <w:p>
            <w:pPr>
              <w:spacing w:after="0"/>
              <w:rPr>
                <w:sz w:val="16"/>
                <w:szCs w:val="16"/>
                <w:color w:val="auto"/>
              </w:rPr>
            </w:pPr>
          </w:p>
        </w:tc>
        <w:tc>
          <w:tcPr>
            <w:tcW w:w="120" w:type="dxa"/>
            <w:vAlign w:val="bottom"/>
            <w:tcBorders>
              <w:bottom w:val="single" w:sz="8" w:color="1E1E1E"/>
            </w:tcBorders>
            <w:shd w:val="clear" w:color="auto" w:fill="E1E1E1"/>
          </w:tcPr>
          <w:p>
            <w:pPr>
              <w:spacing w:after="0"/>
              <w:rPr>
                <w:sz w:val="16"/>
                <w:szCs w:val="16"/>
                <w:color w:val="auto"/>
              </w:rPr>
            </w:pPr>
          </w:p>
        </w:tc>
        <w:tc>
          <w:tcPr>
            <w:tcW w:w="5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6"/>
                <w:szCs w:val="16"/>
                <w:color w:val="auto"/>
              </w:rPr>
            </w:pPr>
          </w:p>
        </w:tc>
        <w:tc>
          <w:tcPr>
            <w:tcW w:w="140" w:type="dxa"/>
            <w:vAlign w:val="bottom"/>
            <w:tcBorders>
              <w:bottom w:val="single" w:sz="8" w:color="1E1E1E"/>
            </w:tcBorders>
            <w:shd w:val="clear" w:color="auto" w:fill="E1E1E1"/>
          </w:tcPr>
          <w:p>
            <w:pPr>
              <w:spacing w:after="0"/>
              <w:rPr>
                <w:sz w:val="16"/>
                <w:szCs w:val="16"/>
                <w:color w:val="auto"/>
              </w:rPr>
            </w:pPr>
          </w:p>
        </w:tc>
        <w:tc>
          <w:tcPr>
            <w:tcW w:w="6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6"/>
                <w:szCs w:val="16"/>
                <w:color w:val="auto"/>
              </w:rPr>
            </w:pPr>
          </w:p>
        </w:tc>
        <w:tc>
          <w:tcPr>
            <w:tcW w:w="120" w:type="dxa"/>
            <w:vAlign w:val="bottom"/>
            <w:tcBorders>
              <w:bottom w:val="single" w:sz="8" w:color="1E1E1E"/>
            </w:tcBorders>
            <w:shd w:val="clear" w:color="auto" w:fill="E1E1E1"/>
          </w:tcPr>
          <w:p>
            <w:pPr>
              <w:spacing w:after="0"/>
              <w:rPr>
                <w:sz w:val="16"/>
                <w:szCs w:val="16"/>
                <w:color w:val="auto"/>
              </w:rPr>
            </w:pPr>
          </w:p>
        </w:tc>
        <w:tc>
          <w:tcPr>
            <w:tcW w:w="5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6"/>
                <w:szCs w:val="16"/>
                <w:color w:val="auto"/>
              </w:rPr>
            </w:pPr>
          </w:p>
        </w:tc>
        <w:tc>
          <w:tcPr>
            <w:tcW w:w="120" w:type="dxa"/>
            <w:vAlign w:val="bottom"/>
            <w:tcBorders>
              <w:bottom w:val="single" w:sz="8" w:color="1E1E1E"/>
            </w:tcBorders>
            <w:shd w:val="clear" w:color="auto" w:fill="E1E1E1"/>
          </w:tcPr>
          <w:p>
            <w:pPr>
              <w:spacing w:after="0"/>
              <w:rPr>
                <w:sz w:val="16"/>
                <w:szCs w:val="16"/>
                <w:color w:val="auto"/>
              </w:rPr>
            </w:pPr>
          </w:p>
        </w:tc>
        <w:tc>
          <w:tcPr>
            <w:tcW w:w="5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6"/>
                <w:szCs w:val="16"/>
                <w:color w:val="auto"/>
              </w:rPr>
            </w:pPr>
          </w:p>
        </w:tc>
        <w:tc>
          <w:tcPr>
            <w:tcW w:w="120" w:type="dxa"/>
            <w:vAlign w:val="bottom"/>
            <w:tcBorders>
              <w:bottom w:val="single" w:sz="8" w:color="1E1E1E"/>
            </w:tcBorders>
            <w:shd w:val="clear" w:color="auto" w:fill="E1E1E1"/>
          </w:tcPr>
          <w:p>
            <w:pPr>
              <w:spacing w:after="0"/>
              <w:rPr>
                <w:sz w:val="16"/>
                <w:szCs w:val="16"/>
                <w:color w:val="auto"/>
              </w:rPr>
            </w:pPr>
          </w:p>
        </w:tc>
        <w:tc>
          <w:tcPr>
            <w:tcW w:w="5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6"/>
                <w:szCs w:val="16"/>
                <w:color w:val="auto"/>
              </w:rPr>
            </w:pPr>
          </w:p>
        </w:tc>
        <w:tc>
          <w:tcPr>
            <w:tcW w:w="120" w:type="dxa"/>
            <w:vAlign w:val="bottom"/>
            <w:tcBorders>
              <w:bottom w:val="single" w:sz="8" w:color="1E1E1E"/>
            </w:tcBorders>
            <w:shd w:val="clear" w:color="auto" w:fill="E1E1E1"/>
          </w:tcPr>
          <w:p>
            <w:pPr>
              <w:spacing w:after="0"/>
              <w:rPr>
                <w:sz w:val="16"/>
                <w:szCs w:val="16"/>
                <w:color w:val="auto"/>
              </w:rPr>
            </w:pPr>
          </w:p>
        </w:tc>
        <w:tc>
          <w:tcPr>
            <w:tcW w:w="5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6"/>
                <w:szCs w:val="16"/>
                <w:color w:val="auto"/>
              </w:rPr>
            </w:pPr>
          </w:p>
        </w:tc>
        <w:tc>
          <w:tcPr>
            <w:tcW w:w="120" w:type="dxa"/>
            <w:vAlign w:val="bottom"/>
            <w:tcBorders>
              <w:bottom w:val="single" w:sz="8" w:color="1E1E1E"/>
            </w:tcBorders>
            <w:shd w:val="clear" w:color="auto" w:fill="E1E1E1"/>
          </w:tcPr>
          <w:p>
            <w:pPr>
              <w:spacing w:after="0"/>
              <w:rPr>
                <w:sz w:val="16"/>
                <w:szCs w:val="16"/>
                <w:color w:val="auto"/>
              </w:rPr>
            </w:pPr>
          </w:p>
        </w:tc>
        <w:tc>
          <w:tcPr>
            <w:tcW w:w="5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6"/>
                <w:szCs w:val="16"/>
                <w:color w:val="auto"/>
              </w:rPr>
            </w:pPr>
          </w:p>
        </w:tc>
        <w:tc>
          <w:tcPr>
            <w:tcW w:w="100" w:type="dxa"/>
            <w:vAlign w:val="bottom"/>
            <w:tcBorders>
              <w:bottom w:val="single" w:sz="8" w:color="1E1E1E"/>
            </w:tcBorders>
            <w:shd w:val="clear" w:color="auto" w:fill="E1E1E1"/>
          </w:tcPr>
          <w:p>
            <w:pPr>
              <w:spacing w:after="0"/>
              <w:rPr>
                <w:sz w:val="16"/>
                <w:szCs w:val="16"/>
                <w:color w:val="auto"/>
              </w:rPr>
            </w:pPr>
          </w:p>
        </w:tc>
        <w:tc>
          <w:tcPr>
            <w:tcW w:w="5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19.2</w:t>
            </w:r>
          </w:p>
        </w:tc>
        <w:tc>
          <w:tcPr>
            <w:tcW w:w="100" w:type="dxa"/>
            <w:vAlign w:val="bottom"/>
            <w:shd w:val="clear" w:color="auto" w:fill="E1E1E1"/>
          </w:tcPr>
          <w:p>
            <w:pPr>
              <w:spacing w:after="0"/>
              <w:rPr>
                <w:sz w:val="16"/>
                <w:szCs w:val="16"/>
                <w:color w:val="auto"/>
              </w:rPr>
            </w:pPr>
          </w:p>
        </w:tc>
        <w:tc>
          <w:tcPr>
            <w:tcW w:w="120" w:type="dxa"/>
            <w:vAlign w:val="bottom"/>
            <w:tcBorders>
              <w:bottom w:val="single" w:sz="8" w:color="1E1E1E"/>
            </w:tcBorders>
            <w:shd w:val="clear" w:color="auto" w:fill="E1E1E1"/>
          </w:tcPr>
          <w:p>
            <w:pPr>
              <w:spacing w:after="0"/>
              <w:rPr>
                <w:sz w:val="16"/>
                <w:szCs w:val="16"/>
                <w:color w:val="auto"/>
              </w:rPr>
            </w:pPr>
          </w:p>
        </w:tc>
        <w:tc>
          <w:tcPr>
            <w:tcW w:w="5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672.6</w:t>
            </w:r>
          </w:p>
        </w:tc>
        <w:tc>
          <w:tcPr>
            <w:tcW w:w="60" w:type="dxa"/>
            <w:vAlign w:val="bottom"/>
            <w:shd w:val="clear" w:color="auto" w:fill="E1E1E1"/>
          </w:tcPr>
          <w:p>
            <w:pPr>
              <w:spacing w:after="0"/>
              <w:rPr>
                <w:sz w:val="16"/>
                <w:szCs w:val="16"/>
                <w:color w:val="auto"/>
              </w:rPr>
            </w:pPr>
          </w:p>
        </w:tc>
      </w:tr>
      <w:tr>
        <w:trPr>
          <w:trHeight w:val="170"/>
        </w:trPr>
        <w:tc>
          <w:tcPr>
            <w:tcW w:w="1920" w:type="dxa"/>
            <w:vAlign w:val="bottom"/>
          </w:tcPr>
          <w:p>
            <w:pPr>
              <w:ind w:left="180"/>
              <w:spacing w:after="0"/>
              <w:rPr>
                <w:sz w:val="20"/>
                <w:szCs w:val="20"/>
                <w:color w:val="auto"/>
              </w:rPr>
            </w:pPr>
            <w:r>
              <w:rPr>
                <w:rFonts w:ascii="Times New Roman" w:cs="Times New Roman" w:eastAsia="Times New Roman" w:hAnsi="Times New Roman"/>
                <w:sz w:val="14"/>
                <w:szCs w:val="14"/>
                <w:color w:val="1E1E1E"/>
              </w:rPr>
              <w:t>Total operating expenses</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521.2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423.6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503.8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132.5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114.6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69.2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82.8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1E1E1E"/>
              </w:rPr>
              <w:t>(1.7)</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43.9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957.2</w:t>
            </w:r>
          </w:p>
        </w:tc>
        <w:tc>
          <w:tcPr>
            <w:tcW w:w="60" w:type="dxa"/>
            <w:vAlign w:val="bottom"/>
          </w:tcPr>
          <w:p>
            <w:pPr>
              <w:spacing w:after="0"/>
              <w:rPr>
                <w:sz w:val="14"/>
                <w:szCs w:val="14"/>
                <w:color w:val="auto"/>
              </w:rPr>
            </w:pPr>
          </w:p>
        </w:tc>
      </w:tr>
      <w:tr>
        <w:trPr>
          <w:trHeight w:val="170"/>
        </w:trPr>
        <w:tc>
          <w:tcPr>
            <w:tcW w:w="192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14"/>
                <w:szCs w:val="14"/>
                <w:color w:val="1E1E1E"/>
              </w:rPr>
              <w:t>Operating income (loss)</w:t>
            </w:r>
          </w:p>
        </w:tc>
        <w:tc>
          <w:tcPr>
            <w:tcW w:w="120" w:type="dxa"/>
            <w:vAlign w:val="bottom"/>
            <w:tcBorders>
              <w:top w:val="single" w:sz="8" w:color="1E1E1E"/>
            </w:tcBorders>
            <w:shd w:val="clear" w:color="auto" w:fill="E1E1E1"/>
          </w:tcPr>
          <w:p>
            <w:pPr>
              <w:spacing w:after="0"/>
              <w:rPr>
                <w:sz w:val="14"/>
                <w:szCs w:val="14"/>
                <w:color w:val="auto"/>
              </w:rPr>
            </w:pPr>
          </w:p>
        </w:tc>
        <w:tc>
          <w:tcPr>
            <w:tcW w:w="5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867.7</w:t>
            </w:r>
          </w:p>
        </w:tc>
        <w:tc>
          <w:tcPr>
            <w:tcW w:w="100" w:type="dxa"/>
            <w:vAlign w:val="bottom"/>
            <w:tcBorders>
              <w:top w:val="single" w:sz="8" w:color="E1E1E1"/>
            </w:tcBorders>
            <w:shd w:val="clear" w:color="auto" w:fill="E1E1E1"/>
          </w:tcPr>
          <w:p>
            <w:pPr>
              <w:spacing w:after="0"/>
              <w:rPr>
                <w:sz w:val="14"/>
                <w:szCs w:val="14"/>
                <w:color w:val="auto"/>
              </w:rPr>
            </w:pPr>
          </w:p>
        </w:tc>
        <w:tc>
          <w:tcPr>
            <w:tcW w:w="120" w:type="dxa"/>
            <w:vAlign w:val="bottom"/>
            <w:tcBorders>
              <w:top w:val="single" w:sz="8" w:color="1E1E1E"/>
            </w:tcBorders>
            <w:shd w:val="clear" w:color="auto" w:fill="E1E1E1"/>
          </w:tcPr>
          <w:p>
            <w:pPr>
              <w:spacing w:after="0"/>
              <w:rPr>
                <w:sz w:val="14"/>
                <w:szCs w:val="14"/>
                <w:color w:val="auto"/>
              </w:rPr>
            </w:pPr>
          </w:p>
        </w:tc>
        <w:tc>
          <w:tcPr>
            <w:tcW w:w="5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548.2</w:t>
            </w:r>
          </w:p>
        </w:tc>
        <w:tc>
          <w:tcPr>
            <w:tcW w:w="100" w:type="dxa"/>
            <w:vAlign w:val="bottom"/>
            <w:tcBorders>
              <w:top w:val="single" w:sz="8" w:color="E1E1E1"/>
            </w:tcBorders>
            <w:shd w:val="clear" w:color="auto" w:fill="E1E1E1"/>
          </w:tcPr>
          <w:p>
            <w:pPr>
              <w:spacing w:after="0"/>
              <w:rPr>
                <w:sz w:val="14"/>
                <w:szCs w:val="14"/>
                <w:color w:val="auto"/>
              </w:rPr>
            </w:pPr>
          </w:p>
        </w:tc>
        <w:tc>
          <w:tcPr>
            <w:tcW w:w="120" w:type="dxa"/>
            <w:vAlign w:val="bottom"/>
            <w:tcBorders>
              <w:top w:val="single" w:sz="8" w:color="1E1E1E"/>
            </w:tcBorders>
            <w:shd w:val="clear" w:color="auto" w:fill="E1E1E1"/>
          </w:tcPr>
          <w:p>
            <w:pPr>
              <w:spacing w:after="0"/>
              <w:rPr>
                <w:sz w:val="14"/>
                <w:szCs w:val="14"/>
                <w:color w:val="auto"/>
              </w:rPr>
            </w:pPr>
          </w:p>
        </w:tc>
        <w:tc>
          <w:tcPr>
            <w:tcW w:w="5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259.9</w:t>
            </w:r>
          </w:p>
        </w:tc>
        <w:tc>
          <w:tcPr>
            <w:tcW w:w="100" w:type="dxa"/>
            <w:vAlign w:val="bottom"/>
            <w:tcBorders>
              <w:top w:val="single" w:sz="8" w:color="E1E1E1"/>
            </w:tcBorders>
            <w:shd w:val="clear" w:color="auto" w:fill="E1E1E1"/>
          </w:tcPr>
          <w:p>
            <w:pPr>
              <w:spacing w:after="0"/>
              <w:rPr>
                <w:sz w:val="14"/>
                <w:szCs w:val="14"/>
                <w:color w:val="auto"/>
              </w:rPr>
            </w:pPr>
          </w:p>
        </w:tc>
        <w:tc>
          <w:tcPr>
            <w:tcW w:w="120" w:type="dxa"/>
            <w:vAlign w:val="bottom"/>
            <w:tcBorders>
              <w:top w:val="single" w:sz="8" w:color="1E1E1E"/>
            </w:tcBorders>
            <w:shd w:val="clear" w:color="auto" w:fill="E1E1E1"/>
          </w:tcPr>
          <w:p>
            <w:pPr>
              <w:spacing w:after="0"/>
              <w:rPr>
                <w:sz w:val="14"/>
                <w:szCs w:val="14"/>
                <w:color w:val="auto"/>
              </w:rPr>
            </w:pPr>
          </w:p>
        </w:tc>
        <w:tc>
          <w:tcPr>
            <w:tcW w:w="5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12.9</w:t>
            </w:r>
          </w:p>
        </w:tc>
        <w:tc>
          <w:tcPr>
            <w:tcW w:w="100" w:type="dxa"/>
            <w:vAlign w:val="bottom"/>
            <w:tcBorders>
              <w:top w:val="single" w:sz="8" w:color="E1E1E1"/>
            </w:tcBorders>
            <w:shd w:val="clear" w:color="auto" w:fill="E1E1E1"/>
          </w:tcPr>
          <w:p>
            <w:pPr>
              <w:spacing w:after="0"/>
              <w:rPr>
                <w:sz w:val="14"/>
                <w:szCs w:val="14"/>
                <w:color w:val="auto"/>
              </w:rPr>
            </w:pPr>
          </w:p>
        </w:tc>
        <w:tc>
          <w:tcPr>
            <w:tcW w:w="140" w:type="dxa"/>
            <w:vAlign w:val="bottom"/>
            <w:tcBorders>
              <w:top w:val="single" w:sz="8" w:color="1E1E1E"/>
            </w:tcBorders>
            <w:shd w:val="clear" w:color="auto" w:fill="E1E1E1"/>
          </w:tcPr>
          <w:p>
            <w:pPr>
              <w:spacing w:after="0"/>
              <w:rPr>
                <w:sz w:val="14"/>
                <w:szCs w:val="14"/>
                <w:color w:val="auto"/>
              </w:rPr>
            </w:pPr>
          </w:p>
        </w:tc>
        <w:tc>
          <w:tcPr>
            <w:tcW w:w="66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281.1</w:t>
            </w:r>
          </w:p>
        </w:tc>
        <w:tc>
          <w:tcPr>
            <w:tcW w:w="100" w:type="dxa"/>
            <w:vAlign w:val="bottom"/>
            <w:tcBorders>
              <w:top w:val="single" w:sz="8" w:color="E1E1E1"/>
            </w:tcBorders>
            <w:shd w:val="clear" w:color="auto" w:fill="E1E1E1"/>
          </w:tcPr>
          <w:p>
            <w:pPr>
              <w:spacing w:after="0"/>
              <w:rPr>
                <w:sz w:val="14"/>
                <w:szCs w:val="14"/>
                <w:color w:val="auto"/>
              </w:rPr>
            </w:pPr>
          </w:p>
        </w:tc>
        <w:tc>
          <w:tcPr>
            <w:tcW w:w="120" w:type="dxa"/>
            <w:vAlign w:val="bottom"/>
            <w:tcBorders>
              <w:top w:val="single" w:sz="8" w:color="1E1E1E"/>
            </w:tcBorders>
            <w:shd w:val="clear" w:color="auto" w:fill="E1E1E1"/>
          </w:tcPr>
          <w:p>
            <w:pPr>
              <w:spacing w:after="0"/>
              <w:rPr>
                <w:sz w:val="14"/>
                <w:szCs w:val="14"/>
                <w:color w:val="auto"/>
              </w:rPr>
            </w:pPr>
          </w:p>
        </w:tc>
        <w:tc>
          <w:tcPr>
            <w:tcW w:w="5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214.8</w:t>
            </w:r>
          </w:p>
        </w:tc>
        <w:tc>
          <w:tcPr>
            <w:tcW w:w="100" w:type="dxa"/>
            <w:vAlign w:val="bottom"/>
            <w:tcBorders>
              <w:top w:val="single" w:sz="8" w:color="E1E1E1"/>
            </w:tcBorders>
            <w:shd w:val="clear" w:color="auto" w:fill="E1E1E1"/>
          </w:tcPr>
          <w:p>
            <w:pPr>
              <w:spacing w:after="0"/>
              <w:rPr>
                <w:sz w:val="14"/>
                <w:szCs w:val="14"/>
                <w:color w:val="auto"/>
              </w:rPr>
            </w:pPr>
          </w:p>
        </w:tc>
        <w:tc>
          <w:tcPr>
            <w:tcW w:w="120" w:type="dxa"/>
            <w:vAlign w:val="bottom"/>
            <w:tcBorders>
              <w:top w:val="single" w:sz="8" w:color="1E1E1E"/>
            </w:tcBorders>
            <w:shd w:val="clear" w:color="auto" w:fill="E1E1E1"/>
          </w:tcPr>
          <w:p>
            <w:pPr>
              <w:spacing w:after="0"/>
              <w:rPr>
                <w:sz w:val="14"/>
                <w:szCs w:val="14"/>
                <w:color w:val="auto"/>
              </w:rPr>
            </w:pPr>
          </w:p>
        </w:tc>
        <w:tc>
          <w:tcPr>
            <w:tcW w:w="5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(4.6</w:t>
            </w:r>
          </w:p>
        </w:tc>
        <w:tc>
          <w:tcPr>
            <w:tcW w:w="100" w:type="dxa"/>
            <w:vAlign w:val="bottom"/>
            <w:tcBorders>
              <w:top w:val="single" w:sz="8" w:color="E1E1E1"/>
            </w:tcBorders>
            <w:shd w:val="clear" w:color="auto" w:fill="E1E1E1"/>
          </w:tcPr>
          <w:p>
            <w:pPr>
              <w:jc w:val="right"/>
              <w:ind w:right="20"/>
              <w:spacing w:after="0"/>
              <w:rPr>
                <w:sz w:val="20"/>
                <w:szCs w:val="20"/>
                <w:color w:val="auto"/>
              </w:rPr>
            </w:pPr>
            <w:r>
              <w:rPr>
                <w:rFonts w:ascii="Times New Roman" w:cs="Times New Roman" w:eastAsia="Times New Roman" w:hAnsi="Times New Roman"/>
                <w:sz w:val="8"/>
                <w:szCs w:val="8"/>
                <w:color w:val="1E1E1E"/>
                <w:w w:val="73"/>
                <w:shd w:val="clear" w:color="auto" w:fill="E1E1E1"/>
              </w:rPr>
              <w:t>)</w:t>
            </w:r>
          </w:p>
        </w:tc>
        <w:tc>
          <w:tcPr>
            <w:tcW w:w="120" w:type="dxa"/>
            <w:vAlign w:val="bottom"/>
            <w:tcBorders>
              <w:top w:val="single" w:sz="8" w:color="1E1E1E"/>
            </w:tcBorders>
            <w:shd w:val="clear" w:color="auto" w:fill="E1E1E1"/>
          </w:tcPr>
          <w:p>
            <w:pPr>
              <w:spacing w:after="0"/>
              <w:rPr>
                <w:sz w:val="14"/>
                <w:szCs w:val="14"/>
                <w:color w:val="auto"/>
              </w:rPr>
            </w:pPr>
          </w:p>
        </w:tc>
        <w:tc>
          <w:tcPr>
            <w:tcW w:w="5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66.7</w:t>
            </w:r>
          </w:p>
        </w:tc>
        <w:tc>
          <w:tcPr>
            <w:tcW w:w="100" w:type="dxa"/>
            <w:vAlign w:val="bottom"/>
            <w:tcBorders>
              <w:top w:val="single" w:sz="8" w:color="E1E1E1"/>
            </w:tcBorders>
            <w:shd w:val="clear" w:color="auto" w:fill="E1E1E1"/>
          </w:tcPr>
          <w:p>
            <w:pPr>
              <w:spacing w:after="0"/>
              <w:rPr>
                <w:sz w:val="14"/>
                <w:szCs w:val="14"/>
                <w:color w:val="auto"/>
              </w:rPr>
            </w:pPr>
          </w:p>
        </w:tc>
        <w:tc>
          <w:tcPr>
            <w:tcW w:w="120" w:type="dxa"/>
            <w:vAlign w:val="bottom"/>
            <w:tcBorders>
              <w:top w:val="single" w:sz="8" w:color="1E1E1E"/>
            </w:tcBorders>
            <w:shd w:val="clear" w:color="auto" w:fill="E1E1E1"/>
          </w:tcPr>
          <w:p>
            <w:pPr>
              <w:spacing w:after="0"/>
              <w:rPr>
                <w:sz w:val="14"/>
                <w:szCs w:val="14"/>
                <w:color w:val="auto"/>
              </w:rPr>
            </w:pPr>
          </w:p>
        </w:tc>
        <w:tc>
          <w:tcPr>
            <w:tcW w:w="5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69.5</w:t>
            </w:r>
          </w:p>
        </w:tc>
        <w:tc>
          <w:tcPr>
            <w:tcW w:w="100" w:type="dxa"/>
            <w:vAlign w:val="bottom"/>
            <w:tcBorders>
              <w:top w:val="single" w:sz="8" w:color="E1E1E1"/>
            </w:tcBorders>
            <w:shd w:val="clear" w:color="auto" w:fill="E1E1E1"/>
          </w:tcPr>
          <w:p>
            <w:pPr>
              <w:spacing w:after="0"/>
              <w:rPr>
                <w:sz w:val="14"/>
                <w:szCs w:val="14"/>
                <w:color w:val="auto"/>
              </w:rPr>
            </w:pPr>
          </w:p>
        </w:tc>
        <w:tc>
          <w:tcPr>
            <w:tcW w:w="120" w:type="dxa"/>
            <w:vAlign w:val="bottom"/>
            <w:tcBorders>
              <w:top w:val="single" w:sz="8" w:color="1E1E1E"/>
            </w:tcBorders>
            <w:shd w:val="clear" w:color="auto" w:fill="E1E1E1"/>
          </w:tcPr>
          <w:p>
            <w:pPr>
              <w:spacing w:after="0"/>
              <w:rPr>
                <w:sz w:val="14"/>
                <w:szCs w:val="14"/>
                <w:color w:val="auto"/>
              </w:rPr>
            </w:pPr>
          </w:p>
        </w:tc>
        <w:tc>
          <w:tcPr>
            <w:tcW w:w="5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1.7</w:t>
            </w:r>
          </w:p>
        </w:tc>
        <w:tc>
          <w:tcPr>
            <w:tcW w:w="100" w:type="dxa"/>
            <w:vAlign w:val="bottom"/>
            <w:tcBorders>
              <w:top w:val="single" w:sz="8" w:color="E1E1E1"/>
            </w:tcBorders>
            <w:shd w:val="clear" w:color="auto" w:fill="E1E1E1"/>
          </w:tcPr>
          <w:p>
            <w:pPr>
              <w:spacing w:after="0"/>
              <w:rPr>
                <w:sz w:val="14"/>
                <w:szCs w:val="14"/>
                <w:color w:val="auto"/>
              </w:rPr>
            </w:pPr>
          </w:p>
        </w:tc>
        <w:tc>
          <w:tcPr>
            <w:tcW w:w="100" w:type="dxa"/>
            <w:vAlign w:val="bottom"/>
            <w:tcBorders>
              <w:top w:val="single" w:sz="8" w:color="1E1E1E"/>
            </w:tcBorders>
            <w:shd w:val="clear" w:color="auto" w:fill="E1E1E1"/>
          </w:tcPr>
          <w:p>
            <w:pPr>
              <w:spacing w:after="0"/>
              <w:rPr>
                <w:sz w:val="14"/>
                <w:szCs w:val="14"/>
                <w:color w:val="auto"/>
              </w:rPr>
            </w:pPr>
          </w:p>
        </w:tc>
        <w:tc>
          <w:tcPr>
            <w:tcW w:w="5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(58.9</w:t>
            </w:r>
          </w:p>
        </w:tc>
        <w:tc>
          <w:tcPr>
            <w:tcW w:w="100" w:type="dxa"/>
            <w:vAlign w:val="bottom"/>
            <w:tcBorders>
              <w:top w:val="single" w:sz="8" w:color="E1E1E1"/>
            </w:tcBorders>
            <w:shd w:val="clear" w:color="auto" w:fill="E1E1E1"/>
          </w:tcPr>
          <w:p>
            <w:pPr>
              <w:jc w:val="right"/>
              <w:ind w:right="20"/>
              <w:spacing w:after="0"/>
              <w:rPr>
                <w:sz w:val="20"/>
                <w:szCs w:val="20"/>
                <w:color w:val="auto"/>
              </w:rPr>
            </w:pPr>
            <w:r>
              <w:rPr>
                <w:rFonts w:ascii="Times New Roman" w:cs="Times New Roman" w:eastAsia="Times New Roman" w:hAnsi="Times New Roman"/>
                <w:sz w:val="8"/>
                <w:szCs w:val="8"/>
                <w:color w:val="1E1E1E"/>
                <w:w w:val="73"/>
                <w:shd w:val="clear" w:color="auto" w:fill="E1E1E1"/>
              </w:rPr>
              <w:t>)</w:t>
            </w:r>
          </w:p>
        </w:tc>
        <w:tc>
          <w:tcPr>
            <w:tcW w:w="120" w:type="dxa"/>
            <w:vAlign w:val="bottom"/>
            <w:tcBorders>
              <w:top w:val="single" w:sz="8" w:color="1E1E1E"/>
            </w:tcBorders>
            <w:shd w:val="clear" w:color="auto" w:fill="E1E1E1"/>
          </w:tcPr>
          <w:p>
            <w:pPr>
              <w:spacing w:after="0"/>
              <w:rPr>
                <w:sz w:val="14"/>
                <w:szCs w:val="14"/>
                <w:color w:val="auto"/>
              </w:rPr>
            </w:pPr>
          </w:p>
        </w:tc>
        <w:tc>
          <w:tcPr>
            <w:tcW w:w="5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(807.2</w:t>
            </w:r>
          </w:p>
        </w:tc>
        <w:tc>
          <w:tcPr>
            <w:tcW w:w="60" w:type="dxa"/>
            <w:vAlign w:val="bottom"/>
            <w:tcBorders>
              <w:top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8"/>
                <w:szCs w:val="8"/>
                <w:color w:val="1E1E1E"/>
                <w:w w:val="73"/>
                <w:shd w:val="clear" w:color="auto" w:fill="E1E1E1"/>
              </w:rPr>
              <w:t>)</w:t>
            </w:r>
          </w:p>
        </w:tc>
      </w:tr>
      <w:tr>
        <w:trPr>
          <w:trHeight w:val="175"/>
        </w:trPr>
        <w:tc>
          <w:tcPr>
            <w:tcW w:w="1920" w:type="dxa"/>
            <w:vAlign w:val="bottom"/>
          </w:tcPr>
          <w:p>
            <w:pPr>
              <w:spacing w:after="0" w:line="175" w:lineRule="exact"/>
              <w:rPr>
                <w:sz w:val="20"/>
                <w:szCs w:val="20"/>
                <w:color w:val="auto"/>
              </w:rPr>
            </w:pPr>
            <w:r>
              <w:rPr>
                <w:rFonts w:ascii="Times New Roman" w:cs="Times New Roman" w:eastAsia="Times New Roman" w:hAnsi="Times New Roman"/>
                <w:sz w:val="14"/>
                <w:szCs w:val="14"/>
                <w:color w:val="1E1E1E"/>
              </w:rPr>
              <w:t xml:space="preserve">Interest expense </w:t>
            </w:r>
            <w:r>
              <w:rPr>
                <w:rFonts w:ascii="Times New Roman" w:cs="Times New Roman" w:eastAsia="Times New Roman" w:hAnsi="Times New Roman"/>
                <w:sz w:val="18"/>
                <w:szCs w:val="18"/>
                <w:color w:val="1E1E1E"/>
                <w:vertAlign w:val="superscript"/>
              </w:rPr>
              <w:t>(3)</w:t>
            </w:r>
          </w:p>
        </w:tc>
        <w:tc>
          <w:tcPr>
            <w:tcW w:w="1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1E1E1E"/>
              </w:rPr>
              <w:t>(637.5)</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1E1E1E"/>
              </w:rPr>
              <w:t>(686.9)</w:t>
            </w: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(675.8)</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60" w:type="dxa"/>
            <w:vAlign w:val="bottom"/>
          </w:tcPr>
          <w:p>
            <w:pPr>
              <w:spacing w:after="0"/>
              <w:rPr>
                <w:sz w:val="15"/>
                <w:szCs w:val="15"/>
                <w:color w:val="auto"/>
              </w:rPr>
            </w:pPr>
          </w:p>
        </w:tc>
      </w:tr>
      <w:tr>
        <w:trPr>
          <w:trHeight w:val="160"/>
        </w:trPr>
        <w:tc>
          <w:tcPr>
            <w:tcW w:w="1920" w:type="dxa"/>
            <w:vAlign w:val="bottom"/>
            <w:shd w:val="clear" w:color="auto" w:fill="E1E1E1"/>
          </w:tcPr>
          <w:p>
            <w:pPr>
              <w:spacing w:after="0"/>
              <w:rPr>
                <w:sz w:val="20"/>
                <w:szCs w:val="20"/>
                <w:color w:val="auto"/>
              </w:rPr>
            </w:pPr>
            <w:r>
              <w:rPr>
                <w:rFonts w:ascii="Times New Roman" w:cs="Times New Roman" w:eastAsia="Times New Roman" w:hAnsi="Times New Roman"/>
                <w:sz w:val="14"/>
                <w:szCs w:val="14"/>
                <w:color w:val="1E1E1E"/>
              </w:rPr>
              <w:t>Other income (expense),</w:t>
            </w: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40" w:type="dxa"/>
            <w:vAlign w:val="bottom"/>
            <w:shd w:val="clear" w:color="auto" w:fill="E1E1E1"/>
          </w:tcPr>
          <w:p>
            <w:pPr>
              <w:spacing w:after="0"/>
              <w:rPr>
                <w:sz w:val="13"/>
                <w:szCs w:val="13"/>
                <w:color w:val="auto"/>
              </w:rPr>
            </w:pPr>
          </w:p>
        </w:tc>
        <w:tc>
          <w:tcPr>
            <w:tcW w:w="66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54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60" w:type="dxa"/>
            <w:vAlign w:val="bottom"/>
            <w:shd w:val="clear" w:color="auto" w:fill="E1E1E1"/>
          </w:tcPr>
          <w:p>
            <w:pPr>
              <w:spacing w:after="0"/>
              <w:rPr>
                <w:sz w:val="13"/>
                <w:szCs w:val="13"/>
                <w:color w:val="auto"/>
              </w:rPr>
            </w:pPr>
          </w:p>
        </w:tc>
      </w:tr>
      <w:tr>
        <w:trPr>
          <w:trHeight w:val="176"/>
        </w:trPr>
        <w:tc>
          <w:tcPr>
            <w:tcW w:w="1920" w:type="dxa"/>
            <w:vAlign w:val="bottom"/>
            <w:shd w:val="clear" w:color="auto" w:fill="E1E1E1"/>
          </w:tcPr>
          <w:p>
            <w:pPr>
              <w:ind w:left="100"/>
              <w:spacing w:after="0" w:line="176" w:lineRule="exact"/>
              <w:rPr>
                <w:sz w:val="20"/>
                <w:szCs w:val="20"/>
                <w:color w:val="auto"/>
              </w:rPr>
            </w:pPr>
            <w:r>
              <w:rPr>
                <w:rFonts w:ascii="Times New Roman" w:cs="Times New Roman" w:eastAsia="Times New Roman" w:hAnsi="Times New Roman"/>
                <w:sz w:val="14"/>
                <w:szCs w:val="14"/>
                <w:color w:val="1E1E1E"/>
              </w:rPr>
              <w:t xml:space="preserve">net </w:t>
            </w:r>
            <w:r>
              <w:rPr>
                <w:rFonts w:ascii="Times New Roman" w:cs="Times New Roman" w:eastAsia="Times New Roman" w:hAnsi="Times New Roman"/>
                <w:sz w:val="18"/>
                <w:szCs w:val="18"/>
                <w:color w:val="1E1E1E"/>
                <w:vertAlign w:val="superscript"/>
              </w:rPr>
              <w:t>(4)</w:t>
            </w: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14"/>
                <w:szCs w:val="14"/>
                <w:color w:val="1E1E1E"/>
              </w:rPr>
              <w:t>(14.4)</w:t>
            </w:r>
          </w:p>
        </w:tc>
        <w:tc>
          <w:tcPr>
            <w:tcW w:w="120" w:type="dxa"/>
            <w:vAlign w:val="bottom"/>
            <w:shd w:val="clear" w:color="auto" w:fill="E1E1E1"/>
          </w:tcPr>
          <w:p>
            <w:pPr>
              <w:spacing w:after="0"/>
              <w:rPr>
                <w:sz w:val="15"/>
                <w:szCs w:val="15"/>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2.3</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(9.6)</w:t>
            </w:r>
          </w:p>
        </w:tc>
        <w:tc>
          <w:tcPr>
            <w:tcW w:w="120" w:type="dxa"/>
            <w:vAlign w:val="bottom"/>
            <w:shd w:val="clear" w:color="auto" w:fill="E1E1E1"/>
          </w:tcPr>
          <w:p>
            <w:pPr>
              <w:spacing w:after="0"/>
              <w:rPr>
                <w:sz w:val="15"/>
                <w:szCs w:val="15"/>
                <w:color w:val="auto"/>
              </w:rPr>
            </w:pPr>
          </w:p>
        </w:tc>
        <w:tc>
          <w:tcPr>
            <w:tcW w:w="620" w:type="dxa"/>
            <w:vAlign w:val="bottom"/>
            <w:gridSpan w:val="2"/>
            <w:shd w:val="clear" w:color="auto" w:fill="E1E1E1"/>
          </w:tcPr>
          <w:p>
            <w:pPr>
              <w:jc w:val="right"/>
              <w:ind w:right="60"/>
              <w:spacing w:after="0"/>
              <w:rPr>
                <w:sz w:val="20"/>
                <w:szCs w:val="20"/>
                <w:color w:val="auto"/>
              </w:rPr>
            </w:pPr>
            <w:r>
              <w:rPr>
                <w:rFonts w:ascii="Times New Roman" w:cs="Times New Roman" w:eastAsia="Times New Roman" w:hAnsi="Times New Roman"/>
                <w:sz w:val="14"/>
                <w:szCs w:val="14"/>
                <w:color w:val="1E1E1E"/>
              </w:rPr>
              <w:t>(0.8)</w:t>
            </w:r>
          </w:p>
        </w:tc>
        <w:tc>
          <w:tcPr>
            <w:tcW w:w="140" w:type="dxa"/>
            <w:vAlign w:val="bottom"/>
            <w:shd w:val="clear" w:color="auto" w:fill="E1E1E1"/>
          </w:tcPr>
          <w:p>
            <w:pPr>
              <w:spacing w:after="0"/>
              <w:rPr>
                <w:sz w:val="15"/>
                <w:szCs w:val="15"/>
                <w:color w:val="auto"/>
              </w:rPr>
            </w:pPr>
          </w:p>
        </w:tc>
        <w:tc>
          <w:tcPr>
            <w:tcW w:w="76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14"/>
                <w:szCs w:val="14"/>
                <w:color w:val="1E1E1E"/>
              </w:rPr>
              <w:t>(2.4)</w:t>
            </w:r>
          </w:p>
        </w:tc>
        <w:tc>
          <w:tcPr>
            <w:tcW w:w="120" w:type="dxa"/>
            <w:vAlign w:val="bottom"/>
            <w:shd w:val="clear" w:color="auto" w:fill="E1E1E1"/>
          </w:tcPr>
          <w:p>
            <w:pPr>
              <w:spacing w:after="0"/>
              <w:rPr>
                <w:sz w:val="15"/>
                <w:szCs w:val="15"/>
                <w:color w:val="auto"/>
              </w:rPr>
            </w:pPr>
          </w:p>
        </w:tc>
        <w:tc>
          <w:tcPr>
            <w:tcW w:w="620" w:type="dxa"/>
            <w:vAlign w:val="bottom"/>
            <w:gridSpan w:val="2"/>
            <w:shd w:val="clear" w:color="auto" w:fill="E1E1E1"/>
          </w:tcPr>
          <w:p>
            <w:pPr>
              <w:jc w:val="right"/>
              <w:ind w:right="60"/>
              <w:spacing w:after="0"/>
              <w:rPr>
                <w:sz w:val="20"/>
                <w:szCs w:val="20"/>
                <w:color w:val="auto"/>
              </w:rPr>
            </w:pPr>
            <w:r>
              <w:rPr>
                <w:rFonts w:ascii="Times New Roman" w:cs="Times New Roman" w:eastAsia="Times New Roman" w:hAnsi="Times New Roman"/>
                <w:sz w:val="14"/>
                <w:szCs w:val="14"/>
                <w:color w:val="1E1E1E"/>
              </w:rPr>
              <w:t>(6.2)</w:t>
            </w: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8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14"/>
                <w:szCs w:val="14"/>
                <w:color w:val="1E1E1E"/>
              </w:rPr>
              <w:t>(0.1)</w:t>
            </w:r>
          </w:p>
        </w:tc>
        <w:tc>
          <w:tcPr>
            <w:tcW w:w="120" w:type="dxa"/>
            <w:vAlign w:val="bottom"/>
            <w:shd w:val="clear" w:color="auto" w:fill="E1E1E1"/>
          </w:tcPr>
          <w:p>
            <w:pPr>
              <w:spacing w:after="0"/>
              <w:rPr>
                <w:sz w:val="15"/>
                <w:szCs w:val="15"/>
                <w:color w:val="auto"/>
              </w:rPr>
            </w:pPr>
          </w:p>
        </w:tc>
        <w:tc>
          <w:tcPr>
            <w:tcW w:w="62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0.3</w:t>
            </w:r>
          </w:p>
        </w:tc>
        <w:tc>
          <w:tcPr>
            <w:tcW w:w="100" w:type="dxa"/>
            <w:vAlign w:val="bottom"/>
            <w:shd w:val="clear" w:color="auto" w:fill="E1E1E1"/>
          </w:tcPr>
          <w:p>
            <w:pPr>
              <w:spacing w:after="0"/>
              <w:rPr>
                <w:sz w:val="15"/>
                <w:szCs w:val="15"/>
                <w:color w:val="auto"/>
              </w:rPr>
            </w:pPr>
          </w:p>
        </w:tc>
        <w:tc>
          <w:tcPr>
            <w:tcW w:w="100" w:type="dxa"/>
            <w:vAlign w:val="bottom"/>
            <w:shd w:val="clear" w:color="auto" w:fill="E1E1E1"/>
          </w:tcPr>
          <w:p>
            <w:pPr>
              <w:spacing w:after="0"/>
              <w:rPr>
                <w:sz w:val="15"/>
                <w:szCs w:val="15"/>
                <w:color w:val="auto"/>
              </w:rPr>
            </w:pPr>
          </w:p>
        </w:tc>
        <w:tc>
          <w:tcPr>
            <w:tcW w:w="6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14"/>
                <w:szCs w:val="14"/>
                <w:color w:val="1E1E1E"/>
              </w:rPr>
              <w:t>(18.0)</w:t>
            </w:r>
          </w:p>
        </w:tc>
        <w:tc>
          <w:tcPr>
            <w:tcW w:w="120" w:type="dxa"/>
            <w:vAlign w:val="bottom"/>
            <w:shd w:val="clear" w:color="auto" w:fill="E1E1E1"/>
          </w:tcPr>
          <w:p>
            <w:pPr>
              <w:spacing w:after="0"/>
              <w:rPr>
                <w:sz w:val="15"/>
                <w:szCs w:val="15"/>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1.0</w:t>
            </w:r>
          </w:p>
        </w:tc>
        <w:tc>
          <w:tcPr>
            <w:tcW w:w="60" w:type="dxa"/>
            <w:vAlign w:val="bottom"/>
            <w:shd w:val="clear" w:color="auto" w:fill="E1E1E1"/>
          </w:tcPr>
          <w:p>
            <w:pPr>
              <w:spacing w:after="0"/>
              <w:rPr>
                <w:sz w:val="15"/>
                <w:szCs w:val="15"/>
                <w:color w:val="auto"/>
              </w:rPr>
            </w:pPr>
          </w:p>
        </w:tc>
      </w:tr>
      <w:tr>
        <w:trPr>
          <w:trHeight w:val="155"/>
        </w:trPr>
        <w:tc>
          <w:tcPr>
            <w:tcW w:w="19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1E1E1E"/>
              </w:rPr>
              <w:t>Income (loss) from</w:t>
            </w:r>
          </w:p>
        </w:tc>
        <w:tc>
          <w:tcPr>
            <w:tcW w:w="120" w:type="dxa"/>
            <w:vAlign w:val="bottom"/>
            <w:tcBorders>
              <w:top w:val="single" w:sz="8" w:color="1E1E1E"/>
            </w:tcBorders>
          </w:tcPr>
          <w:p>
            <w:pPr>
              <w:spacing w:after="0"/>
              <w:rPr>
                <w:sz w:val="13"/>
                <w:szCs w:val="13"/>
                <w:color w:val="auto"/>
              </w:rPr>
            </w:pPr>
          </w:p>
        </w:tc>
        <w:tc>
          <w:tcPr>
            <w:tcW w:w="50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2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0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2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1E1E1E"/>
            </w:tcBorders>
          </w:tcPr>
          <w:p>
            <w:pPr>
              <w:spacing w:after="0"/>
              <w:rPr>
                <w:sz w:val="13"/>
                <w:szCs w:val="13"/>
                <w:color w:val="auto"/>
              </w:rPr>
            </w:pPr>
          </w:p>
        </w:tc>
        <w:tc>
          <w:tcPr>
            <w:tcW w:w="66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2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0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0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2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0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1E1E1E"/>
            </w:tcBorders>
          </w:tcPr>
          <w:p>
            <w:pPr>
              <w:spacing w:after="0"/>
              <w:rPr>
                <w:sz w:val="13"/>
                <w:szCs w:val="13"/>
                <w:color w:val="auto"/>
              </w:rPr>
            </w:pPr>
          </w:p>
        </w:tc>
        <w:tc>
          <w:tcPr>
            <w:tcW w:w="54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00" w:type="dxa"/>
            <w:vAlign w:val="bottom"/>
            <w:tcBorders>
              <w:top w:val="single" w:sz="8" w:color="1E1E1E"/>
            </w:tcBorders>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1920" w:type="dxa"/>
            <w:vAlign w:val="bottom"/>
          </w:tcPr>
          <w:p>
            <w:pPr>
              <w:ind w:left="100"/>
              <w:spacing w:after="0"/>
              <w:rPr>
                <w:sz w:val="20"/>
                <w:szCs w:val="20"/>
                <w:color w:val="auto"/>
              </w:rPr>
            </w:pPr>
            <w:r>
              <w:rPr>
                <w:rFonts w:ascii="Times New Roman" w:cs="Times New Roman" w:eastAsia="Times New Roman" w:hAnsi="Times New Roman"/>
                <w:sz w:val="14"/>
                <w:szCs w:val="14"/>
                <w:color w:val="1E1E1E"/>
              </w:rPr>
              <w:t>operations of discontinued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1920" w:type="dxa"/>
            <w:vAlign w:val="bottom"/>
          </w:tcPr>
          <w:p>
            <w:pPr>
              <w:ind w:left="100"/>
              <w:spacing w:after="0"/>
              <w:rPr>
                <w:sz w:val="20"/>
                <w:szCs w:val="20"/>
                <w:color w:val="auto"/>
              </w:rPr>
            </w:pPr>
            <w:r>
              <w:rPr>
                <w:rFonts w:ascii="Times New Roman" w:cs="Times New Roman" w:eastAsia="Times New Roman" w:hAnsi="Times New Roman"/>
                <w:sz w:val="14"/>
                <w:szCs w:val="14"/>
                <w:color w:val="1E1E1E"/>
              </w:rPr>
              <w:t>businesses before income</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1920" w:type="dxa"/>
            <w:vAlign w:val="bottom"/>
          </w:tcPr>
          <w:p>
            <w:pPr>
              <w:ind w:left="100"/>
              <w:spacing w:after="0"/>
              <w:rPr>
                <w:sz w:val="20"/>
                <w:szCs w:val="20"/>
                <w:color w:val="auto"/>
              </w:rPr>
            </w:pPr>
            <w:r>
              <w:rPr>
                <w:rFonts w:ascii="Times New Roman" w:cs="Times New Roman" w:eastAsia="Times New Roman" w:hAnsi="Times New Roman"/>
                <w:sz w:val="14"/>
                <w:szCs w:val="14"/>
                <w:color w:val="1E1E1E"/>
              </w:rPr>
              <w:t>taxes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215.8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1E1E1E"/>
              </w:rPr>
              <w:t>(136.4)</w:t>
            </w: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(425.5)</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278.7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208.6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1E1E1E"/>
              </w:rPr>
              <w:t>(4.6)</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66.6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69.5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1E1E1E"/>
              </w:rPr>
              <w:t>(76.9)</w:t>
            </w:r>
          </w:p>
        </w:tc>
        <w:tc>
          <w:tcPr>
            <w:tcW w:w="12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(806.2 )</w:t>
            </w:r>
          </w:p>
        </w:tc>
      </w:tr>
      <w:tr>
        <w:trPr>
          <w:trHeight w:val="160"/>
        </w:trPr>
        <w:tc>
          <w:tcPr>
            <w:tcW w:w="1920" w:type="dxa"/>
            <w:vAlign w:val="bottom"/>
            <w:shd w:val="clear" w:color="auto" w:fill="E1E1E1"/>
          </w:tcPr>
          <w:p>
            <w:pPr>
              <w:spacing w:after="0"/>
              <w:rPr>
                <w:sz w:val="20"/>
                <w:szCs w:val="20"/>
                <w:color w:val="auto"/>
              </w:rPr>
            </w:pPr>
            <w:r>
              <w:rPr>
                <w:rFonts w:ascii="Times New Roman" w:cs="Times New Roman" w:eastAsia="Times New Roman" w:hAnsi="Times New Roman"/>
                <w:sz w:val="14"/>
                <w:szCs w:val="14"/>
                <w:color w:val="1E1E1E"/>
              </w:rPr>
              <w:t>Gain (loss) on disposal of</w:t>
            </w: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40" w:type="dxa"/>
            <w:vAlign w:val="bottom"/>
            <w:shd w:val="clear" w:color="auto" w:fill="E1E1E1"/>
          </w:tcPr>
          <w:p>
            <w:pPr>
              <w:spacing w:after="0"/>
              <w:rPr>
                <w:sz w:val="13"/>
                <w:szCs w:val="13"/>
                <w:color w:val="auto"/>
              </w:rPr>
            </w:pPr>
          </w:p>
        </w:tc>
        <w:tc>
          <w:tcPr>
            <w:tcW w:w="66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2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54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20" w:type="dxa"/>
            <w:vAlign w:val="bottom"/>
            <w:shd w:val="clear" w:color="auto" w:fill="E1E1E1"/>
          </w:tcPr>
          <w:p>
            <w:pPr>
              <w:spacing w:after="0"/>
              <w:rPr>
                <w:sz w:val="13"/>
                <w:szCs w:val="13"/>
                <w:color w:val="auto"/>
              </w:rPr>
            </w:pPr>
          </w:p>
        </w:tc>
        <w:tc>
          <w:tcPr>
            <w:tcW w:w="500" w:type="dxa"/>
            <w:vAlign w:val="bottom"/>
            <w:shd w:val="clear" w:color="auto" w:fill="E1E1E1"/>
          </w:tcPr>
          <w:p>
            <w:pPr>
              <w:spacing w:after="0"/>
              <w:rPr>
                <w:sz w:val="13"/>
                <w:szCs w:val="13"/>
                <w:color w:val="auto"/>
              </w:rPr>
            </w:pPr>
          </w:p>
        </w:tc>
        <w:tc>
          <w:tcPr>
            <w:tcW w:w="60" w:type="dxa"/>
            <w:vAlign w:val="bottom"/>
            <w:shd w:val="clear" w:color="auto" w:fill="E1E1E1"/>
          </w:tcPr>
          <w:p>
            <w:pPr>
              <w:spacing w:after="0"/>
              <w:rPr>
                <w:sz w:val="13"/>
                <w:szCs w:val="13"/>
                <w:color w:val="auto"/>
              </w:rPr>
            </w:pPr>
          </w:p>
        </w:tc>
      </w:tr>
      <w:tr>
        <w:trPr>
          <w:trHeight w:val="161"/>
        </w:trPr>
        <w:tc>
          <w:tcPr>
            <w:tcW w:w="1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14"/>
                <w:szCs w:val="14"/>
                <w:color w:val="1E1E1E"/>
              </w:rPr>
              <w:t>discontinued operations</w:t>
            </w: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40" w:type="dxa"/>
            <w:vAlign w:val="bottom"/>
            <w:shd w:val="clear" w:color="auto" w:fill="E1E1E1"/>
          </w:tcPr>
          <w:p>
            <w:pPr>
              <w:spacing w:after="0"/>
              <w:rPr>
                <w:sz w:val="14"/>
                <w:szCs w:val="14"/>
                <w:color w:val="auto"/>
              </w:rPr>
            </w:pPr>
          </w:p>
        </w:tc>
        <w:tc>
          <w:tcPr>
            <w:tcW w:w="66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54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60" w:type="dxa"/>
            <w:vAlign w:val="bottom"/>
            <w:shd w:val="clear" w:color="auto" w:fill="E1E1E1"/>
          </w:tcPr>
          <w:p>
            <w:pPr>
              <w:spacing w:after="0"/>
              <w:rPr>
                <w:sz w:val="14"/>
                <w:szCs w:val="14"/>
                <w:color w:val="auto"/>
              </w:rPr>
            </w:pPr>
          </w:p>
        </w:tc>
      </w:tr>
      <w:tr>
        <w:trPr>
          <w:trHeight w:val="176"/>
        </w:trPr>
        <w:tc>
          <w:tcPr>
            <w:tcW w:w="1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14"/>
                <w:szCs w:val="14"/>
                <w:color w:val="1E1E1E"/>
              </w:rPr>
              <w:t>before income taxes</w:t>
            </w: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620" w:type="dxa"/>
            <w:vAlign w:val="bottom"/>
            <w:gridSpan w:val="2"/>
            <w:shd w:val="clear" w:color="auto" w:fill="E1E1E1"/>
          </w:tcPr>
          <w:p>
            <w:pPr>
              <w:jc w:val="right"/>
              <w:ind w:right="8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869.0</w:t>
            </w:r>
          </w:p>
        </w:tc>
        <w:tc>
          <w:tcPr>
            <w:tcW w:w="100" w:type="dxa"/>
            <w:vAlign w:val="bottom"/>
            <w:shd w:val="clear" w:color="auto" w:fill="E1E1E1"/>
          </w:tcPr>
          <w:p>
            <w:pPr>
              <w:spacing w:after="0"/>
              <w:rPr>
                <w:sz w:val="15"/>
                <w:szCs w:val="15"/>
                <w:color w:val="auto"/>
              </w:rPr>
            </w:pPr>
          </w:p>
        </w:tc>
        <w:tc>
          <w:tcPr>
            <w:tcW w:w="140" w:type="dxa"/>
            <w:vAlign w:val="bottom"/>
            <w:shd w:val="clear" w:color="auto" w:fill="E1E1E1"/>
          </w:tcPr>
          <w:p>
            <w:pPr>
              <w:spacing w:after="0"/>
              <w:rPr>
                <w:sz w:val="15"/>
                <w:szCs w:val="15"/>
                <w:color w:val="auto"/>
              </w:rPr>
            </w:pPr>
          </w:p>
        </w:tc>
        <w:tc>
          <w:tcPr>
            <w:tcW w:w="76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62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8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62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1E1E1"/>
          </w:tcPr>
          <w:p>
            <w:pPr>
              <w:spacing w:after="0"/>
              <w:rPr>
                <w:sz w:val="15"/>
                <w:szCs w:val="15"/>
                <w:color w:val="auto"/>
              </w:rPr>
            </w:pPr>
          </w:p>
        </w:tc>
        <w:tc>
          <w:tcPr>
            <w:tcW w:w="6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1E1E1"/>
          </w:tcPr>
          <w:p>
            <w:pPr>
              <w:spacing w:after="0"/>
              <w:rPr>
                <w:sz w:val="15"/>
                <w:szCs w:val="15"/>
                <w:color w:val="auto"/>
              </w:rPr>
            </w:pPr>
          </w:p>
        </w:tc>
        <w:tc>
          <w:tcPr>
            <w:tcW w:w="6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14"/>
                <w:szCs w:val="14"/>
                <w:color w:val="1E1E1E"/>
              </w:rPr>
              <w:t>(27.9)</w:t>
            </w:r>
          </w:p>
        </w:tc>
        <w:tc>
          <w:tcPr>
            <w:tcW w:w="120" w:type="dxa"/>
            <w:vAlign w:val="bottom"/>
            <w:shd w:val="clear" w:color="auto" w:fill="E1E1E1"/>
          </w:tcPr>
          <w:p>
            <w:pPr>
              <w:spacing w:after="0"/>
              <w:rPr>
                <w:sz w:val="15"/>
                <w:szCs w:val="15"/>
                <w:color w:val="auto"/>
              </w:rPr>
            </w:pPr>
          </w:p>
        </w:tc>
        <w:tc>
          <w:tcPr>
            <w:tcW w:w="56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14"/>
                <w:szCs w:val="14"/>
                <w:color w:val="1E1E1E"/>
              </w:rPr>
              <w:t>—</w:t>
            </w:r>
          </w:p>
        </w:tc>
      </w:tr>
      <w:tr>
        <w:trPr>
          <w:trHeight w:val="175"/>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1E1E1E"/>
              </w:rPr>
              <w:t>Income tax (expense) benefit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1,238.8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1E1E1E"/>
              </w:rPr>
              <w:t>(118.6)</w:t>
            </w: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(17.5)</w:t>
            </w: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1E1E1E"/>
              </w:rPr>
              <w:t>(375.5)</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1E1E1E"/>
              </w:rPr>
              <w:t>(66.7)</w:t>
            </w: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1E1E1E"/>
              </w:rPr>
              <w:t>(49.5)</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1E1E1E"/>
              </w:rPr>
              <w:t>(16.0)</w:t>
            </w: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1E1E1E"/>
              </w:rPr>
              <w:t>(16.5)</w:t>
            </w:r>
          </w:p>
        </w:tc>
        <w:tc>
          <w:tcPr>
            <w:tcW w:w="1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1E1E1E"/>
              </w:rPr>
              <w:t>(0.2)</w:t>
            </w:r>
          </w:p>
        </w:tc>
        <w:tc>
          <w:tcPr>
            <w:tcW w:w="10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1E1E1E"/>
              </w:rPr>
              <w:t>(12.3)</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183.1</w:t>
            </w:r>
          </w:p>
        </w:tc>
        <w:tc>
          <w:tcPr>
            <w:tcW w:w="60" w:type="dxa"/>
            <w:vAlign w:val="bottom"/>
          </w:tcPr>
          <w:p>
            <w:pPr>
              <w:spacing w:after="0"/>
              <w:rPr>
                <w:sz w:val="15"/>
                <w:szCs w:val="15"/>
                <w:color w:val="auto"/>
              </w:rPr>
            </w:pPr>
          </w:p>
        </w:tc>
      </w:tr>
      <w:tr>
        <w:trPr>
          <w:trHeight w:val="155"/>
        </w:trPr>
        <w:tc>
          <w:tcPr>
            <w:tcW w:w="1920" w:type="dxa"/>
            <w:vAlign w:val="bottom"/>
            <w:tcBorders>
              <w:top w:val="single" w:sz="8" w:color="E1E1E1"/>
            </w:tcBorders>
            <w:shd w:val="clear" w:color="auto" w:fill="E1E1E1"/>
          </w:tcPr>
          <w:p>
            <w:pPr>
              <w:spacing w:after="0" w:line="155" w:lineRule="exact"/>
              <w:rPr>
                <w:sz w:val="20"/>
                <w:szCs w:val="20"/>
                <w:color w:val="auto"/>
              </w:rPr>
            </w:pPr>
            <w:r>
              <w:rPr>
                <w:rFonts w:ascii="Times New Roman" w:cs="Times New Roman" w:eastAsia="Times New Roman" w:hAnsi="Times New Roman"/>
                <w:sz w:val="14"/>
                <w:szCs w:val="14"/>
                <w:color w:val="1E1E1E"/>
              </w:rPr>
              <w:t>Income (loss) from</w:t>
            </w:r>
          </w:p>
        </w:tc>
        <w:tc>
          <w:tcPr>
            <w:tcW w:w="120" w:type="dxa"/>
            <w:vAlign w:val="bottom"/>
            <w:tcBorders>
              <w:top w:val="single" w:sz="8" w:color="1E1E1E"/>
            </w:tcBorders>
            <w:shd w:val="clear" w:color="auto" w:fill="E1E1E1"/>
          </w:tcPr>
          <w:p>
            <w:pPr>
              <w:spacing w:after="0"/>
              <w:rPr>
                <w:sz w:val="13"/>
                <w:szCs w:val="13"/>
                <w:color w:val="auto"/>
              </w:rPr>
            </w:pPr>
          </w:p>
        </w:tc>
        <w:tc>
          <w:tcPr>
            <w:tcW w:w="50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20" w:type="dxa"/>
            <w:vAlign w:val="bottom"/>
            <w:tcBorders>
              <w:top w:val="single" w:sz="8" w:color="1E1E1E"/>
            </w:tcBorders>
            <w:shd w:val="clear" w:color="auto" w:fill="E1E1E1"/>
          </w:tcPr>
          <w:p>
            <w:pPr>
              <w:spacing w:after="0"/>
              <w:rPr>
                <w:sz w:val="13"/>
                <w:szCs w:val="13"/>
                <w:color w:val="auto"/>
              </w:rPr>
            </w:pPr>
          </w:p>
        </w:tc>
        <w:tc>
          <w:tcPr>
            <w:tcW w:w="52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20" w:type="dxa"/>
            <w:vAlign w:val="bottom"/>
            <w:tcBorders>
              <w:top w:val="single" w:sz="8" w:color="1E1E1E"/>
            </w:tcBorders>
            <w:shd w:val="clear" w:color="auto" w:fill="E1E1E1"/>
          </w:tcPr>
          <w:p>
            <w:pPr>
              <w:spacing w:after="0"/>
              <w:rPr>
                <w:sz w:val="13"/>
                <w:szCs w:val="13"/>
                <w:color w:val="auto"/>
              </w:rPr>
            </w:pPr>
          </w:p>
        </w:tc>
        <w:tc>
          <w:tcPr>
            <w:tcW w:w="50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20" w:type="dxa"/>
            <w:vAlign w:val="bottom"/>
            <w:tcBorders>
              <w:top w:val="single" w:sz="8" w:color="1E1E1E"/>
            </w:tcBorders>
            <w:shd w:val="clear" w:color="auto" w:fill="E1E1E1"/>
          </w:tcPr>
          <w:p>
            <w:pPr>
              <w:spacing w:after="0"/>
              <w:rPr>
                <w:sz w:val="13"/>
                <w:szCs w:val="13"/>
                <w:color w:val="auto"/>
              </w:rPr>
            </w:pPr>
          </w:p>
        </w:tc>
        <w:tc>
          <w:tcPr>
            <w:tcW w:w="52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40" w:type="dxa"/>
            <w:vAlign w:val="bottom"/>
            <w:tcBorders>
              <w:top w:val="single" w:sz="8" w:color="1E1E1E"/>
            </w:tcBorders>
            <w:shd w:val="clear" w:color="auto" w:fill="E1E1E1"/>
          </w:tcPr>
          <w:p>
            <w:pPr>
              <w:spacing w:after="0"/>
              <w:rPr>
                <w:sz w:val="13"/>
                <w:szCs w:val="13"/>
                <w:color w:val="auto"/>
              </w:rPr>
            </w:pPr>
          </w:p>
        </w:tc>
        <w:tc>
          <w:tcPr>
            <w:tcW w:w="66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20" w:type="dxa"/>
            <w:vAlign w:val="bottom"/>
            <w:tcBorders>
              <w:top w:val="single" w:sz="8" w:color="1E1E1E"/>
            </w:tcBorders>
            <w:shd w:val="clear" w:color="auto" w:fill="E1E1E1"/>
          </w:tcPr>
          <w:p>
            <w:pPr>
              <w:spacing w:after="0"/>
              <w:rPr>
                <w:sz w:val="13"/>
                <w:szCs w:val="13"/>
                <w:color w:val="auto"/>
              </w:rPr>
            </w:pPr>
          </w:p>
        </w:tc>
        <w:tc>
          <w:tcPr>
            <w:tcW w:w="52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50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1E1E1E"/>
            </w:tcBorders>
            <w:shd w:val="clear" w:color="auto" w:fill="E1E1E1"/>
          </w:tcPr>
          <w:p>
            <w:pPr>
              <w:spacing w:after="0"/>
              <w:rPr>
                <w:sz w:val="13"/>
                <w:szCs w:val="13"/>
                <w:color w:val="auto"/>
              </w:rPr>
            </w:pPr>
          </w:p>
        </w:tc>
        <w:tc>
          <w:tcPr>
            <w:tcW w:w="50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20" w:type="dxa"/>
            <w:vAlign w:val="bottom"/>
            <w:tcBorders>
              <w:top w:val="single" w:sz="8" w:color="1E1E1E"/>
            </w:tcBorders>
            <w:shd w:val="clear" w:color="auto" w:fill="E1E1E1"/>
          </w:tcPr>
          <w:p>
            <w:pPr>
              <w:spacing w:after="0"/>
              <w:rPr>
                <w:sz w:val="13"/>
                <w:szCs w:val="13"/>
                <w:color w:val="auto"/>
              </w:rPr>
            </w:pPr>
          </w:p>
        </w:tc>
        <w:tc>
          <w:tcPr>
            <w:tcW w:w="52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20" w:type="dxa"/>
            <w:vAlign w:val="bottom"/>
            <w:tcBorders>
              <w:top w:val="single" w:sz="8" w:color="1E1E1E"/>
            </w:tcBorders>
            <w:shd w:val="clear" w:color="auto" w:fill="E1E1E1"/>
          </w:tcPr>
          <w:p>
            <w:pPr>
              <w:spacing w:after="0"/>
              <w:rPr>
                <w:sz w:val="13"/>
                <w:szCs w:val="13"/>
                <w:color w:val="auto"/>
              </w:rPr>
            </w:pPr>
          </w:p>
        </w:tc>
        <w:tc>
          <w:tcPr>
            <w:tcW w:w="50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00" w:type="dxa"/>
            <w:vAlign w:val="bottom"/>
            <w:tcBorders>
              <w:top w:val="single" w:sz="8" w:color="1E1E1E"/>
            </w:tcBorders>
            <w:shd w:val="clear" w:color="auto" w:fill="E1E1E1"/>
          </w:tcPr>
          <w:p>
            <w:pPr>
              <w:spacing w:after="0"/>
              <w:rPr>
                <w:sz w:val="13"/>
                <w:szCs w:val="13"/>
                <w:color w:val="auto"/>
              </w:rPr>
            </w:pPr>
          </w:p>
        </w:tc>
        <w:tc>
          <w:tcPr>
            <w:tcW w:w="540" w:type="dxa"/>
            <w:vAlign w:val="bottom"/>
            <w:tcBorders>
              <w:top w:val="single" w:sz="8" w:color="1E1E1E"/>
            </w:tcBorders>
            <w:shd w:val="clear" w:color="auto" w:fill="E1E1E1"/>
          </w:tcPr>
          <w:p>
            <w:pPr>
              <w:spacing w:after="0"/>
              <w:rPr>
                <w:sz w:val="13"/>
                <w:szCs w:val="13"/>
                <w:color w:val="auto"/>
              </w:rPr>
            </w:pPr>
          </w:p>
        </w:tc>
        <w:tc>
          <w:tcPr>
            <w:tcW w:w="100" w:type="dxa"/>
            <w:vAlign w:val="bottom"/>
            <w:tcBorders>
              <w:top w:val="single" w:sz="8" w:color="E1E1E1"/>
            </w:tcBorders>
            <w:shd w:val="clear" w:color="auto" w:fill="E1E1E1"/>
          </w:tcPr>
          <w:p>
            <w:pPr>
              <w:spacing w:after="0"/>
              <w:rPr>
                <w:sz w:val="13"/>
                <w:szCs w:val="13"/>
                <w:color w:val="auto"/>
              </w:rPr>
            </w:pPr>
          </w:p>
        </w:tc>
        <w:tc>
          <w:tcPr>
            <w:tcW w:w="120" w:type="dxa"/>
            <w:vAlign w:val="bottom"/>
            <w:tcBorders>
              <w:top w:val="single" w:sz="8" w:color="1E1E1E"/>
            </w:tcBorders>
            <w:shd w:val="clear" w:color="auto" w:fill="E1E1E1"/>
          </w:tcPr>
          <w:p>
            <w:pPr>
              <w:spacing w:after="0"/>
              <w:rPr>
                <w:sz w:val="13"/>
                <w:szCs w:val="13"/>
                <w:color w:val="auto"/>
              </w:rPr>
            </w:pPr>
          </w:p>
        </w:tc>
        <w:tc>
          <w:tcPr>
            <w:tcW w:w="500" w:type="dxa"/>
            <w:vAlign w:val="bottom"/>
            <w:tcBorders>
              <w:top w:val="single" w:sz="8" w:color="1E1E1E"/>
            </w:tcBorders>
            <w:shd w:val="clear" w:color="auto" w:fill="E1E1E1"/>
          </w:tcPr>
          <w:p>
            <w:pPr>
              <w:spacing w:after="0"/>
              <w:rPr>
                <w:sz w:val="13"/>
                <w:szCs w:val="13"/>
                <w:color w:val="auto"/>
              </w:rPr>
            </w:pPr>
          </w:p>
        </w:tc>
        <w:tc>
          <w:tcPr>
            <w:tcW w:w="60" w:type="dxa"/>
            <w:vAlign w:val="bottom"/>
            <w:tcBorders>
              <w:top w:val="single" w:sz="8" w:color="E1E1E1"/>
            </w:tcBorders>
            <w:shd w:val="clear" w:color="auto" w:fill="E1E1E1"/>
          </w:tcPr>
          <w:p>
            <w:pPr>
              <w:spacing w:after="0"/>
              <w:rPr>
                <w:sz w:val="13"/>
                <w:szCs w:val="13"/>
                <w:color w:val="auto"/>
              </w:rPr>
            </w:pPr>
          </w:p>
        </w:tc>
      </w:tr>
      <w:tr>
        <w:trPr>
          <w:trHeight w:val="161"/>
        </w:trPr>
        <w:tc>
          <w:tcPr>
            <w:tcW w:w="1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14"/>
                <w:szCs w:val="14"/>
                <w:color w:val="1E1E1E"/>
              </w:rPr>
              <w:t>discontinued operations,</w:t>
            </w: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40" w:type="dxa"/>
            <w:vAlign w:val="bottom"/>
            <w:shd w:val="clear" w:color="auto" w:fill="E1E1E1"/>
          </w:tcPr>
          <w:p>
            <w:pPr>
              <w:spacing w:after="0"/>
              <w:rPr>
                <w:sz w:val="14"/>
                <w:szCs w:val="14"/>
                <w:color w:val="auto"/>
              </w:rPr>
            </w:pPr>
          </w:p>
        </w:tc>
        <w:tc>
          <w:tcPr>
            <w:tcW w:w="66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2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540" w:type="dxa"/>
            <w:vAlign w:val="bottom"/>
            <w:shd w:val="clear" w:color="auto" w:fill="E1E1E1"/>
          </w:tcPr>
          <w:p>
            <w:pPr>
              <w:spacing w:after="0"/>
              <w:rPr>
                <w:sz w:val="14"/>
                <w:szCs w:val="14"/>
                <w:color w:val="auto"/>
              </w:rPr>
            </w:pPr>
          </w:p>
        </w:tc>
        <w:tc>
          <w:tcPr>
            <w:tcW w:w="100" w:type="dxa"/>
            <w:vAlign w:val="bottom"/>
            <w:shd w:val="clear" w:color="auto" w:fill="E1E1E1"/>
          </w:tcPr>
          <w:p>
            <w:pPr>
              <w:spacing w:after="0"/>
              <w:rPr>
                <w:sz w:val="14"/>
                <w:szCs w:val="14"/>
                <w:color w:val="auto"/>
              </w:rPr>
            </w:pPr>
          </w:p>
        </w:tc>
        <w:tc>
          <w:tcPr>
            <w:tcW w:w="120" w:type="dxa"/>
            <w:vAlign w:val="bottom"/>
            <w:shd w:val="clear" w:color="auto" w:fill="E1E1E1"/>
          </w:tcPr>
          <w:p>
            <w:pPr>
              <w:spacing w:after="0"/>
              <w:rPr>
                <w:sz w:val="14"/>
                <w:szCs w:val="14"/>
                <w:color w:val="auto"/>
              </w:rPr>
            </w:pPr>
          </w:p>
        </w:tc>
        <w:tc>
          <w:tcPr>
            <w:tcW w:w="500" w:type="dxa"/>
            <w:vAlign w:val="bottom"/>
            <w:shd w:val="clear" w:color="auto" w:fill="E1E1E1"/>
          </w:tcPr>
          <w:p>
            <w:pPr>
              <w:spacing w:after="0"/>
              <w:rPr>
                <w:sz w:val="14"/>
                <w:szCs w:val="14"/>
                <w:color w:val="auto"/>
              </w:rPr>
            </w:pPr>
          </w:p>
        </w:tc>
        <w:tc>
          <w:tcPr>
            <w:tcW w:w="60" w:type="dxa"/>
            <w:vAlign w:val="bottom"/>
            <w:shd w:val="clear" w:color="auto" w:fill="E1E1E1"/>
          </w:tcPr>
          <w:p>
            <w:pPr>
              <w:spacing w:after="0"/>
              <w:rPr>
                <w:sz w:val="14"/>
                <w:szCs w:val="14"/>
                <w:color w:val="auto"/>
              </w:rPr>
            </w:pPr>
          </w:p>
        </w:tc>
      </w:tr>
      <w:tr>
        <w:trPr>
          <w:trHeight w:val="176"/>
        </w:trPr>
        <w:tc>
          <w:tcPr>
            <w:tcW w:w="1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14"/>
                <w:szCs w:val="14"/>
                <w:color w:val="1E1E1E"/>
              </w:rPr>
              <w:t>net of income taxes</w:t>
            </w:r>
          </w:p>
        </w:tc>
        <w:tc>
          <w:tcPr>
            <w:tcW w:w="120" w:type="dxa"/>
            <w:vAlign w:val="bottom"/>
            <w:shd w:val="clear" w:color="auto" w:fill="E1E1E1"/>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1,454.6</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(255.0</w:t>
            </w:r>
          </w:p>
        </w:tc>
        <w:tc>
          <w:tcPr>
            <w:tcW w:w="100" w:type="dxa"/>
            <w:vAlign w:val="bottom"/>
            <w:shd w:val="clear" w:color="auto" w:fill="E1E1E1"/>
          </w:tcPr>
          <w:p>
            <w:pPr>
              <w:jc w:val="right"/>
              <w:ind w:right="20"/>
              <w:spacing w:after="0"/>
              <w:rPr>
                <w:sz w:val="20"/>
                <w:szCs w:val="20"/>
                <w:color w:val="auto"/>
              </w:rPr>
            </w:pPr>
            <w:r>
              <w:rPr>
                <w:rFonts w:ascii="Times New Roman" w:cs="Times New Roman" w:eastAsia="Times New Roman" w:hAnsi="Times New Roman"/>
                <w:sz w:val="8"/>
                <w:szCs w:val="8"/>
                <w:color w:val="1E1E1E"/>
                <w:w w:val="73"/>
              </w:rPr>
              <w:t>)</w:t>
            </w:r>
          </w:p>
        </w:tc>
        <w:tc>
          <w:tcPr>
            <w:tcW w:w="120" w:type="dxa"/>
            <w:vAlign w:val="bottom"/>
            <w:shd w:val="clear" w:color="auto" w:fill="E1E1E1"/>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(443.0</w:t>
            </w: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4"/>
              </w:rPr>
              <w:t>)</w:t>
            </w: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505.</w:t>
            </w:r>
            <w:r>
              <w:rPr>
                <w:rFonts w:ascii="Times New Roman" w:cs="Times New Roman" w:eastAsia="Times New Roman" w:hAnsi="Times New Roman"/>
                <w:sz w:val="14"/>
                <w:szCs w:val="14"/>
                <w:u w:val="single" w:color="auto"/>
                <w:color w:val="1E1E1E"/>
              </w:rPr>
              <w:t>6</w:t>
            </w:r>
          </w:p>
        </w:tc>
        <w:tc>
          <w:tcPr>
            <w:tcW w:w="100" w:type="dxa"/>
            <w:vAlign w:val="bottom"/>
            <w:shd w:val="clear" w:color="auto" w:fill="E1E1E1"/>
          </w:tcPr>
          <w:p>
            <w:pPr>
              <w:spacing w:after="0"/>
              <w:rPr>
                <w:sz w:val="15"/>
                <w:szCs w:val="15"/>
                <w:color w:val="auto"/>
              </w:rPr>
            </w:pPr>
          </w:p>
        </w:tc>
        <w:tc>
          <w:tcPr>
            <w:tcW w:w="140" w:type="dxa"/>
            <w:vAlign w:val="bottom"/>
            <w:shd w:val="clear" w:color="auto" w:fill="E1E1E1"/>
          </w:tcPr>
          <w:p>
            <w:pPr>
              <w:jc w:val="right"/>
              <w:ind w:right="25"/>
              <w:spacing w:after="0"/>
              <w:rPr>
                <w:sz w:val="20"/>
                <w:szCs w:val="20"/>
                <w:color w:val="auto"/>
              </w:rPr>
            </w:pPr>
            <w:r>
              <w:rPr>
                <w:rFonts w:ascii="Times New Roman" w:cs="Times New Roman" w:eastAsia="Times New Roman" w:hAnsi="Times New Roman"/>
                <w:sz w:val="11"/>
                <w:szCs w:val="11"/>
                <w:color w:val="1E1E1E"/>
                <w:w w:val="71"/>
              </w:rPr>
              <w:t>$</w:t>
            </w:r>
          </w:p>
        </w:tc>
        <w:tc>
          <w:tcPr>
            <w:tcW w:w="6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212.0</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159.</w:t>
            </w:r>
            <w:r>
              <w:rPr>
                <w:rFonts w:ascii="Times New Roman" w:cs="Times New Roman" w:eastAsia="Times New Roman" w:hAnsi="Times New Roman"/>
                <w:sz w:val="14"/>
                <w:szCs w:val="14"/>
                <w:u w:val="single" w:color="auto"/>
                <w:color w:val="1E1E1E"/>
              </w:rPr>
              <w:t>1</w:t>
            </w:r>
          </w:p>
        </w:tc>
        <w:tc>
          <w:tcPr>
            <w:tcW w:w="100" w:type="dxa"/>
            <w:vAlign w:val="bottom"/>
            <w:shd w:val="clear" w:color="auto" w:fill="E1E1E1"/>
          </w:tcPr>
          <w:p>
            <w:pPr>
              <w:spacing w:after="0"/>
              <w:rPr>
                <w:sz w:val="15"/>
                <w:szCs w:val="15"/>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1E1E1E"/>
              </w:rPr>
              <w:t>(2.6)</w:t>
            </w: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50.6</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53.0</w:t>
            </w:r>
          </w:p>
        </w:tc>
        <w:tc>
          <w:tcPr>
            <w:tcW w:w="100" w:type="dxa"/>
            <w:vAlign w:val="bottom"/>
            <w:shd w:val="clear" w:color="auto" w:fill="E1E1E1"/>
          </w:tcPr>
          <w:p>
            <w:pPr>
              <w:spacing w:after="0"/>
              <w:rPr>
                <w:sz w:val="15"/>
                <w:szCs w:val="15"/>
                <w:color w:val="auto"/>
              </w:rPr>
            </w:pPr>
          </w:p>
        </w:tc>
        <w:tc>
          <w:tcPr>
            <w:tcW w:w="120" w:type="dxa"/>
            <w:vAlign w:val="bottom"/>
            <w:shd w:val="clear" w:color="auto" w:fill="E1E1E1"/>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1.8</w:t>
            </w:r>
          </w:p>
        </w:tc>
        <w:tc>
          <w:tcPr>
            <w:tcW w:w="100" w:type="dxa"/>
            <w:vAlign w:val="bottom"/>
            <w:shd w:val="clear" w:color="auto" w:fill="E1E1E1"/>
          </w:tcPr>
          <w:p>
            <w:pPr>
              <w:spacing w:after="0"/>
              <w:rPr>
                <w:sz w:val="15"/>
                <w:szCs w:val="15"/>
                <w:color w:val="auto"/>
              </w:rPr>
            </w:pP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(117.1</w:t>
            </w:r>
          </w:p>
        </w:tc>
        <w:tc>
          <w:tcPr>
            <w:tcW w:w="100" w:type="dxa"/>
            <w:vAlign w:val="bottom"/>
            <w:shd w:val="clear" w:color="auto" w:fill="E1E1E1"/>
          </w:tcPr>
          <w:p>
            <w:pPr>
              <w:jc w:val="right"/>
              <w:ind w:right="20"/>
              <w:spacing w:after="0"/>
              <w:rPr>
                <w:sz w:val="20"/>
                <w:szCs w:val="20"/>
                <w:color w:val="auto"/>
              </w:rPr>
            </w:pPr>
            <w:r>
              <w:rPr>
                <w:rFonts w:ascii="Times New Roman" w:cs="Times New Roman" w:eastAsia="Times New Roman" w:hAnsi="Times New Roman"/>
                <w:sz w:val="8"/>
                <w:szCs w:val="8"/>
                <w:color w:val="1E1E1E"/>
                <w:w w:val="73"/>
              </w:rPr>
              <w:t>)</w:t>
            </w:r>
          </w:p>
        </w:tc>
        <w:tc>
          <w:tcPr>
            <w:tcW w:w="120" w:type="dxa"/>
            <w:vAlign w:val="bottom"/>
            <w:shd w:val="clear" w:color="auto" w:fill="E1E1E1"/>
          </w:tcPr>
          <w:p>
            <w:pPr>
              <w:jc w:val="right"/>
              <w:ind w:right="5"/>
              <w:spacing w:after="0"/>
              <w:rPr>
                <w:sz w:val="20"/>
                <w:szCs w:val="20"/>
                <w:color w:val="auto"/>
              </w:rPr>
            </w:pPr>
            <w:r>
              <w:rPr>
                <w:rFonts w:ascii="Times New Roman" w:cs="Times New Roman" w:eastAsia="Times New Roman" w:hAnsi="Times New Roman"/>
                <w:sz w:val="11"/>
                <w:szCs w:val="11"/>
                <w:color w:val="1E1E1E"/>
                <w:w w:val="71"/>
              </w:rPr>
              <w:t>$</w:t>
            </w: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4"/>
                <w:szCs w:val="14"/>
                <w:color w:val="1E1E1E"/>
              </w:rPr>
              <w:t>(623.</w:t>
            </w:r>
            <w:r>
              <w:rPr>
                <w:rFonts w:ascii="Times New Roman" w:cs="Times New Roman" w:eastAsia="Times New Roman" w:hAnsi="Times New Roman"/>
                <w:sz w:val="14"/>
                <w:szCs w:val="14"/>
                <w:u w:val="single" w:color="auto"/>
                <w:color w:val="1E1E1E"/>
              </w:rPr>
              <w:t>1</w:t>
            </w:r>
          </w:p>
        </w:tc>
        <w:tc>
          <w:tcPr>
            <w:tcW w:w="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8"/>
                <w:szCs w:val="8"/>
                <w:color w:val="1E1E1E"/>
                <w:w w:val="73"/>
              </w:rPr>
              <w:t>)</w:t>
            </w:r>
          </w:p>
        </w:tc>
      </w:tr>
      <w:tr>
        <w:trPr>
          <w:trHeight w:val="20"/>
        </w:trPr>
        <w:tc>
          <w:tcPr>
            <w:tcW w:w="192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6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5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4110355</wp:posOffset>
            </wp:positionH>
            <wp:positionV relativeFrom="paragraph">
              <wp:posOffset>-353060</wp:posOffset>
            </wp:positionV>
            <wp:extent cx="462280" cy="325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extLst>
                    </a:blip>
                    <a:srcRect/>
                    <a:stretch>
                      <a:fillRect/>
                    </a:stretch>
                  </pic:blipFill>
                  <pic:spPr bwMode="auto">
                    <a:xfrm>
                      <a:off x="0" y="0"/>
                      <a:ext cx="462280" cy="325120"/>
                    </a:xfrm>
                    <a:prstGeom prst="rect">
                      <a:avLst/>
                    </a:prstGeom>
                    <a:noFill/>
                  </pic:spPr>
                </pic:pic>
              </a:graphicData>
            </a:graphic>
          </wp:anchor>
        </w:drawing>
      </w:r>
    </w:p>
    <w:p>
      <w:pPr>
        <w:spacing w:after="0" w:line="80" w:lineRule="exact"/>
        <w:rPr>
          <w:sz w:val="20"/>
          <w:szCs w:val="20"/>
          <w:color w:val="auto"/>
        </w:rPr>
      </w:pPr>
    </w:p>
    <w:p>
      <w:pPr>
        <w:ind w:left="980" w:right="180" w:hanging="490"/>
        <w:spacing w:after="0" w:line="272" w:lineRule="auto"/>
        <w:tabs>
          <w:tab w:leader="none" w:pos="980" w:val="left"/>
        </w:tabs>
        <w:numPr>
          <w:ilvl w:val="0"/>
          <w:numId w:val="4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Cost of sales includes a charge of $19.5 million for excess and obsolete inventory related to the Home business during the year ended December 31, 2024.</w:t>
      </w:r>
    </w:p>
    <w:p>
      <w:pPr>
        <w:spacing w:after="0" w:line="1" w:lineRule="exact"/>
        <w:rPr>
          <w:rFonts w:ascii="Times New Roman" w:cs="Times New Roman" w:eastAsia="Times New Roman" w:hAnsi="Times New Roman"/>
          <w:sz w:val="19"/>
          <w:szCs w:val="19"/>
          <w:color w:val="1E1E1E"/>
        </w:rPr>
      </w:pPr>
    </w:p>
    <w:p>
      <w:pPr>
        <w:ind w:left="980" w:right="60" w:hanging="490"/>
        <w:spacing w:after="0" w:line="248" w:lineRule="auto"/>
        <w:tabs>
          <w:tab w:leader="none" w:pos="980" w:val="left"/>
        </w:tabs>
        <w:numPr>
          <w:ilvl w:val="0"/>
          <w:numId w:val="4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Asset impairments reflect a partial goodwill impairment charge of $99.1 million recorded in the year ended December 31, 2023 for the Building Data Center Connectivity (BDCC) reporting unit of the CCS segment. In addition, asset impairments include a loss on impairment of $19.2 million related to Home business patents for the year ended December 31, 2024. For the year ended December 31, 2023, asset impairments reflect the loss of $203.4 million on classification as held for sale related to the Home business and a partial impairment of $469.2 million related to the Home segment’s intangible assets. The fair value measurements were determined using Level 1 and/or Level 3 valuation inputs.</w:t>
      </w:r>
    </w:p>
    <w:p>
      <w:pPr>
        <w:spacing w:after="0" w:line="16" w:lineRule="exact"/>
        <w:rPr>
          <w:rFonts w:ascii="Times New Roman" w:cs="Times New Roman" w:eastAsia="Times New Roman" w:hAnsi="Times New Roman"/>
          <w:sz w:val="19"/>
          <w:szCs w:val="19"/>
          <w:color w:val="1E1E1E"/>
        </w:rPr>
      </w:pPr>
    </w:p>
    <w:p>
      <w:pPr>
        <w:ind w:left="980" w:right="20" w:hanging="490"/>
        <w:spacing w:after="0" w:line="235" w:lineRule="exact"/>
        <w:tabs>
          <w:tab w:leader="none" w:pos="980" w:val="left"/>
        </w:tabs>
        <w:numPr>
          <w:ilvl w:val="0"/>
          <w:numId w:val="4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connection with the sale of the CCS segment that was completed subsequent to the fiscal year end on January 9, 2026, the terms of the Purchase Agreement with Amphenol required that the CCS segment be transferred on a debt</w:t>
      </w:r>
      <w:r>
        <w:rPr>
          <w:rFonts w:ascii="MS Gothic" w:cs="MS Gothic" w:eastAsia="MS Gothic" w:hAnsi="MS Gothic"/>
          <w:sz w:val="19"/>
          <w:szCs w:val="19"/>
          <w:color w:val="1E1E1E"/>
        </w:rPr>
        <w:t>-</w:t>
      </w:r>
      <w:r>
        <w:rPr>
          <w:rFonts w:ascii="Times New Roman" w:cs="Times New Roman" w:eastAsia="Times New Roman" w:hAnsi="Times New Roman"/>
          <w:sz w:val="19"/>
          <w:szCs w:val="19"/>
          <w:color w:val="1E1E1E"/>
        </w:rPr>
        <w:t>free basis, and therefore, the Company repaid its third</w:t>
      </w:r>
      <w:r>
        <w:rPr>
          <w:rFonts w:ascii="MS Gothic" w:cs="MS Gothic" w:eastAsia="MS Gothic" w:hAnsi="MS Gothic"/>
          <w:sz w:val="19"/>
          <w:szCs w:val="19"/>
          <w:color w:val="1E1E1E"/>
        </w:rPr>
        <w:t>-</w:t>
      </w:r>
      <w:r>
        <w:rPr>
          <w:rFonts w:ascii="Times New Roman" w:cs="Times New Roman" w:eastAsia="Times New Roman" w:hAnsi="Times New Roman"/>
          <w:sz w:val="19"/>
          <w:szCs w:val="19"/>
          <w:color w:val="1E1E1E"/>
        </w:rPr>
        <w:t>party borrowings at closing using a portion of the proceeds from the sale of the CCS segment. Accordingly, all third-party debt obligations remained classified as long-term debt on the Consolidated Balance Sheets as of December 31, 2025 and 2024. However, in accordance with accounting guidance, interest expense on debt that is required to be repaid as a direct result of a disposal transaction that qualifies as a discontinued operation is reported within discontinued operations. Because the closing of the divestiture required repayment of all outstanding third</w:t>
      </w:r>
      <w:r>
        <w:rPr>
          <w:rFonts w:ascii="MS Gothic" w:cs="MS Gothic" w:eastAsia="MS Gothic" w:hAnsi="MS Gothic"/>
          <w:sz w:val="19"/>
          <w:szCs w:val="19"/>
          <w:color w:val="1E1E1E"/>
        </w:rPr>
        <w:t>-</w:t>
      </w:r>
      <w:r>
        <w:rPr>
          <w:rFonts w:ascii="Times New Roman" w:cs="Times New Roman" w:eastAsia="Times New Roman" w:hAnsi="Times New Roman"/>
          <w:sz w:val="19"/>
          <w:szCs w:val="19"/>
          <w:color w:val="1E1E1E"/>
        </w:rPr>
        <w:t>party debt due to the contractual requirement to deliver the business debt</w:t>
      </w:r>
      <w:r>
        <w:rPr>
          <w:rFonts w:ascii="MS Gothic" w:cs="MS Gothic" w:eastAsia="MS Gothic" w:hAnsi="MS Gothic"/>
          <w:sz w:val="19"/>
          <w:szCs w:val="19"/>
          <w:color w:val="1E1E1E"/>
        </w:rPr>
        <w:t>-</w:t>
      </w:r>
      <w:r>
        <w:rPr>
          <w:rFonts w:ascii="Times New Roman" w:cs="Times New Roman" w:eastAsia="Times New Roman" w:hAnsi="Times New Roman"/>
          <w:sz w:val="19"/>
          <w:szCs w:val="19"/>
          <w:color w:val="1E1E1E"/>
        </w:rPr>
        <w:t>free, all interest expense has been presented within discontinued operations for all years presented.</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76</w:t>
      </w:r>
    </w:p>
    <w:p>
      <w:pPr>
        <w:sectPr>
          <w:pgSz w:w="11880" w:h="15480" w:orient="portrait"/>
          <w:cols w:equalWidth="0" w:num="1">
            <w:col w:w="10800"/>
          </w:cols>
          <w:pgMar w:left="540" w:top="515" w:right="540" w:bottom="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4" w:lineRule="exact"/>
        <w:rPr>
          <w:sz w:val="20"/>
          <w:szCs w:val="20"/>
          <w:color w:val="auto"/>
        </w:rPr>
      </w:pPr>
    </w:p>
    <w:p>
      <w:pPr>
        <w:ind w:left="980" w:right="420" w:hanging="490"/>
        <w:spacing w:after="0" w:line="280" w:lineRule="auto"/>
        <w:tabs>
          <w:tab w:leader="none" w:pos="980" w:val="left"/>
        </w:tabs>
        <w:numPr>
          <w:ilvl w:val="0"/>
          <w:numId w:val="4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Other income (expense), net includes a loss on equity investment of $17.0 million related to the Home business for the year ended December 31, 2024.</w:t>
      </w:r>
    </w:p>
    <w:p>
      <w:pPr>
        <w:spacing w:after="0" w:line="16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1E1E1E"/>
        </w:rPr>
        <w:t>The following table presents the summarized components of income (loss) from discontinued operations, net of income taxes, for the years ended December 31, 2025, 2024 and 2023, for the combined discontinued operations: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Borders>
              <w:bottom w:val="single" w:sz="8" w:color="E1E1E1"/>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80" w:type="dxa"/>
            <w:vAlign w:val="bottom"/>
            <w:tcBorders>
              <w:bottom w:val="single" w:sz="8" w:color="E1E1E1"/>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60" w:type="dxa"/>
            <w:vAlign w:val="bottom"/>
            <w:tcBorders>
              <w:bottom w:val="single" w:sz="8" w:color="E1E1E1"/>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840" w:type="dxa"/>
            <w:vAlign w:val="bottom"/>
            <w:tcBorders>
              <w:bottom w:val="single" w:sz="8" w:color="1E1E1E"/>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0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sales</w:t>
            </w:r>
          </w:p>
        </w:tc>
        <w:tc>
          <w:tcPr>
            <w:tcW w:w="220" w:type="dxa"/>
            <w:vAlign w:val="bottom"/>
            <w:shd w:val="clear" w:color="auto" w:fill="E1E1E1"/>
          </w:tcPr>
          <w:p>
            <w:pPr>
              <w:jc w:val="right"/>
              <w:ind w:right="30"/>
              <w:spacing w:after="0"/>
              <w:rPr>
                <w:sz w:val="20"/>
                <w:szCs w:val="20"/>
                <w:color w:val="auto"/>
              </w:rPr>
            </w:pPr>
            <w:r>
              <w:rPr>
                <w:rFonts w:ascii="Times New Roman" w:cs="Times New Roman" w:eastAsia="Times New Roman" w:hAnsi="Times New Roman"/>
                <w:sz w:val="18"/>
                <w:szCs w:val="18"/>
                <w:color w:val="1E1E1E"/>
                <w:w w:val="88"/>
              </w:rPr>
              <w:t>$</w:t>
            </w: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3,871.5</w:t>
            </w:r>
          </w:p>
        </w:tc>
        <w:tc>
          <w:tcPr>
            <w:tcW w:w="280" w:type="dxa"/>
            <w:vAlign w:val="bottom"/>
            <w:shd w:val="clear" w:color="auto" w:fill="E1E1E1"/>
          </w:tcPr>
          <w:p>
            <w:pPr>
              <w:spacing w:after="0"/>
              <w:rPr>
                <w:sz w:val="20"/>
                <w:szCs w:val="20"/>
                <w:color w:val="auto"/>
              </w:rPr>
            </w:pPr>
          </w:p>
        </w:tc>
        <w:tc>
          <w:tcPr>
            <w:tcW w:w="240" w:type="dxa"/>
            <w:vAlign w:val="bottom"/>
            <w:shd w:val="clear" w:color="auto" w:fill="E1E1E1"/>
          </w:tcPr>
          <w:p>
            <w:pPr>
              <w:jc w:val="right"/>
              <w:ind w:right="75"/>
              <w:spacing w:after="0"/>
              <w:rPr>
                <w:sz w:val="20"/>
                <w:szCs w:val="20"/>
                <w:color w:val="auto"/>
              </w:rPr>
            </w:pPr>
            <w:r>
              <w:rPr>
                <w:rFonts w:ascii="Times New Roman" w:cs="Times New Roman" w:eastAsia="Times New Roman" w:hAnsi="Times New Roman"/>
                <w:sz w:val="17"/>
                <w:szCs w:val="17"/>
                <w:color w:val="1E1E1E"/>
                <w:w w:val="70"/>
              </w:rPr>
              <w:t>$</w:t>
            </w: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4,144.5</w:t>
            </w:r>
          </w:p>
        </w:tc>
        <w:tc>
          <w:tcPr>
            <w:tcW w:w="260" w:type="dxa"/>
            <w:vAlign w:val="bottom"/>
            <w:shd w:val="clear" w:color="auto" w:fill="E1E1E1"/>
          </w:tcPr>
          <w:p>
            <w:pPr>
              <w:spacing w:after="0"/>
              <w:rPr>
                <w:sz w:val="20"/>
                <w:szCs w:val="20"/>
                <w:color w:val="auto"/>
              </w:rPr>
            </w:pPr>
          </w:p>
        </w:tc>
        <w:tc>
          <w:tcPr>
            <w:tcW w:w="220" w:type="dxa"/>
            <w:vAlign w:val="bottom"/>
            <w:shd w:val="clear" w:color="auto" w:fill="E1E1E1"/>
          </w:tcPr>
          <w:p>
            <w:pPr>
              <w:jc w:val="right"/>
              <w:ind w:right="55"/>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5,135.5</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E1E1E1"/>
            </w:tcBorders>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Cost of sales </w:t>
            </w:r>
            <w:r>
              <w:rPr>
                <w:rFonts w:ascii="Times New Roman" w:cs="Times New Roman" w:eastAsia="Times New Roman" w:hAnsi="Times New Roman"/>
                <w:sz w:val="26"/>
                <w:szCs w:val="26"/>
                <w:color w:val="1E1E1E"/>
                <w:vertAlign w:val="superscript"/>
              </w:rPr>
              <w:t>(1)</w:t>
            </w:r>
          </w:p>
        </w:tc>
        <w:tc>
          <w:tcPr>
            <w:tcW w:w="220" w:type="dxa"/>
            <w:vAlign w:val="bottom"/>
            <w:tcBorders>
              <w:bottom w:val="single" w:sz="8" w:color="1E1E1E"/>
            </w:tcBorders>
          </w:tcPr>
          <w:p>
            <w:pPr>
              <w:spacing w:after="0"/>
              <w:rPr>
                <w:sz w:val="21"/>
                <w:szCs w:val="21"/>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2,439.9</w:t>
            </w:r>
          </w:p>
        </w:tc>
        <w:tc>
          <w:tcPr>
            <w:tcW w:w="280" w:type="dxa"/>
            <w:vAlign w:val="bottom"/>
            <w:tcBorders>
              <w:bottom w:val="single" w:sz="8" w:color="E1E1E1"/>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2,638.2</w:t>
            </w:r>
          </w:p>
        </w:tc>
        <w:tc>
          <w:tcPr>
            <w:tcW w:w="260" w:type="dxa"/>
            <w:vAlign w:val="bottom"/>
            <w:tcBorders>
              <w:bottom w:val="single" w:sz="8" w:color="E1E1E1"/>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3,740.1</w:t>
            </w:r>
          </w:p>
        </w:tc>
        <w:tc>
          <w:tcPr>
            <w:tcW w:w="8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Gross profit</w:t>
            </w:r>
          </w:p>
        </w:tc>
        <w:tc>
          <w:tcPr>
            <w:tcW w:w="220" w:type="dxa"/>
            <w:vAlign w:val="bottom"/>
            <w:shd w:val="clear" w:color="auto" w:fill="E1E1E1"/>
          </w:tcPr>
          <w:p>
            <w:pPr>
              <w:spacing w:after="0"/>
              <w:rPr>
                <w:sz w:val="20"/>
                <w:szCs w:val="20"/>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1,431.6</w:t>
            </w:r>
          </w:p>
        </w:tc>
        <w:tc>
          <w:tcPr>
            <w:tcW w:w="28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1,506.3</w:t>
            </w:r>
          </w:p>
        </w:tc>
        <w:tc>
          <w:tcPr>
            <w:tcW w:w="260" w:type="dxa"/>
            <w:vAlign w:val="bottom"/>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1,395.4</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1E1E1E"/>
              </w:rPr>
              <w:t>Operating expenses: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Selling, general and administrative</w:t>
            </w:r>
          </w:p>
        </w:tc>
        <w:tc>
          <w:tcPr>
            <w:tcW w:w="22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416.3</w:t>
            </w:r>
          </w:p>
        </w:tc>
        <w:tc>
          <w:tcPr>
            <w:tcW w:w="2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410.7</w:t>
            </w:r>
          </w:p>
        </w:tc>
        <w:tc>
          <w:tcPr>
            <w:tcW w:w="26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457.7</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81.1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149.9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239.2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Amortization of purchased intangible assets</w:t>
            </w:r>
          </w:p>
        </w:tc>
        <w:tc>
          <w:tcPr>
            <w:tcW w:w="22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56.0</w:t>
            </w:r>
          </w:p>
        </w:tc>
        <w:tc>
          <w:tcPr>
            <w:tcW w:w="2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89.4</w:t>
            </w:r>
          </w:p>
        </w:tc>
        <w:tc>
          <w:tcPr>
            <w:tcW w:w="26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183.5</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Restructuring costs, net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0.5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shd w:val="clear" w:color="auto" w:fill="E1E1E1"/>
          </w:tcPr>
          <w:p>
            <w:pPr>
              <w:ind w:left="100"/>
              <w:spacing w:after="0" w:line="243" w:lineRule="exact"/>
              <w:rPr>
                <w:sz w:val="20"/>
                <w:szCs w:val="20"/>
                <w:color w:val="auto"/>
              </w:rPr>
            </w:pPr>
            <w:r>
              <w:rPr>
                <w:rFonts w:ascii="Times New Roman" w:cs="Times New Roman" w:eastAsia="Times New Roman" w:hAnsi="Times New Roman"/>
                <w:sz w:val="20"/>
                <w:szCs w:val="20"/>
                <w:color w:val="1E1E1E"/>
              </w:rPr>
              <w:t xml:space="preserve">Asset impairments </w:t>
            </w:r>
            <w:r>
              <w:rPr>
                <w:rFonts w:ascii="Times New Roman" w:cs="Times New Roman" w:eastAsia="Times New Roman" w:hAnsi="Times New Roman"/>
                <w:sz w:val="26"/>
                <w:szCs w:val="26"/>
                <w:color w:val="1E1E1E"/>
                <w:vertAlign w:val="superscript"/>
              </w:rPr>
              <w:t>(2)</w:t>
            </w:r>
          </w:p>
        </w:tc>
        <w:tc>
          <w:tcPr>
            <w:tcW w:w="220" w:type="dxa"/>
            <w:vAlign w:val="bottom"/>
            <w:shd w:val="clear" w:color="auto" w:fill="E1E1E1"/>
          </w:tcPr>
          <w:p>
            <w:pPr>
              <w:spacing w:after="0"/>
              <w:rPr>
                <w:sz w:val="21"/>
                <w:szCs w:val="21"/>
                <w:color w:val="auto"/>
              </w:rPr>
            </w:pPr>
          </w:p>
        </w:tc>
        <w:tc>
          <w:tcPr>
            <w:tcW w:w="1060" w:type="dxa"/>
            <w:vAlign w:val="bottom"/>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18"/>
                <w:szCs w:val="18"/>
                <w:color w:val="1E1E1E"/>
              </w:rPr>
              <w:t>—</w:t>
            </w:r>
          </w:p>
        </w:tc>
        <w:tc>
          <w:tcPr>
            <w:tcW w:w="240" w:type="dxa"/>
            <w:vAlign w:val="bottom"/>
            <w:shd w:val="clear" w:color="auto" w:fill="E1E1E1"/>
          </w:tcPr>
          <w:p>
            <w:pPr>
              <w:spacing w:after="0"/>
              <w:rPr>
                <w:sz w:val="21"/>
                <w:szCs w:val="21"/>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19.2</w:t>
            </w:r>
          </w:p>
        </w:tc>
        <w:tc>
          <w:tcPr>
            <w:tcW w:w="26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771.7</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Borders>
              <w:bottom w:val="single" w:sz="8" w:color="E1E1E1"/>
            </w:tcBorders>
          </w:tcPr>
          <w:p>
            <w:pPr>
              <w:ind w:left="160"/>
              <w:spacing w:after="0"/>
              <w:rPr>
                <w:sz w:val="20"/>
                <w:szCs w:val="20"/>
                <w:color w:val="auto"/>
              </w:rPr>
            </w:pPr>
            <w:r>
              <w:rPr>
                <w:rFonts w:ascii="Times New Roman" w:cs="Times New Roman" w:eastAsia="Times New Roman" w:hAnsi="Times New Roman"/>
                <w:sz w:val="20"/>
                <w:szCs w:val="20"/>
                <w:color w:val="1E1E1E"/>
              </w:rPr>
              <w:t>Total operating expenses</w:t>
            </w:r>
          </w:p>
        </w:tc>
        <w:tc>
          <w:tcPr>
            <w:tcW w:w="220" w:type="dxa"/>
            <w:vAlign w:val="bottom"/>
            <w:tcBorders>
              <w:top w:val="single" w:sz="8" w:color="1E1E1E"/>
              <w:bottom w:val="single" w:sz="8" w:color="1E1E1E"/>
            </w:tcBorders>
          </w:tcPr>
          <w:p>
            <w:pPr>
              <w:spacing w:after="0"/>
              <w:rPr>
                <w:sz w:val="20"/>
                <w:szCs w:val="20"/>
                <w:color w:val="auto"/>
              </w:rPr>
            </w:pPr>
          </w:p>
        </w:tc>
        <w:tc>
          <w:tcPr>
            <w:tcW w:w="7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553.9</w:t>
            </w:r>
          </w:p>
        </w:tc>
        <w:tc>
          <w:tcPr>
            <w:tcW w:w="280" w:type="dxa"/>
            <w:vAlign w:val="bottom"/>
            <w:tcBorders>
              <w:bottom w:val="single" w:sz="8" w:color="E1E1E1"/>
            </w:tcBorders>
          </w:tcPr>
          <w:p>
            <w:pPr>
              <w:spacing w:after="0"/>
              <w:rPr>
                <w:sz w:val="20"/>
                <w:szCs w:val="20"/>
                <w:color w:val="auto"/>
              </w:rPr>
            </w:pPr>
          </w:p>
        </w:tc>
        <w:tc>
          <w:tcPr>
            <w:tcW w:w="240" w:type="dxa"/>
            <w:vAlign w:val="bottom"/>
            <w:tcBorders>
              <w:top w:val="single" w:sz="8" w:color="1E1E1E"/>
              <w:bottom w:val="single" w:sz="8" w:color="1E1E1E"/>
            </w:tcBorders>
          </w:tcPr>
          <w:p>
            <w:pPr>
              <w:spacing w:after="0"/>
              <w:rPr>
                <w:sz w:val="20"/>
                <w:szCs w:val="20"/>
                <w:color w:val="auto"/>
              </w:rPr>
            </w:pPr>
          </w:p>
        </w:tc>
        <w:tc>
          <w:tcPr>
            <w:tcW w:w="8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669.2</w:t>
            </w:r>
          </w:p>
        </w:tc>
        <w:tc>
          <w:tcPr>
            <w:tcW w:w="260" w:type="dxa"/>
            <w:vAlign w:val="bottom"/>
            <w:tcBorders>
              <w:bottom w:val="single" w:sz="8" w:color="E1E1E1"/>
            </w:tcBorders>
          </w:tcPr>
          <w:p>
            <w:pPr>
              <w:spacing w:after="0"/>
              <w:rPr>
                <w:sz w:val="20"/>
                <w:szCs w:val="20"/>
                <w:color w:val="auto"/>
              </w:rPr>
            </w:pPr>
          </w:p>
        </w:tc>
        <w:tc>
          <w:tcPr>
            <w:tcW w:w="220" w:type="dxa"/>
            <w:vAlign w:val="bottom"/>
            <w:tcBorders>
              <w:top w:val="single" w:sz="8" w:color="1E1E1E"/>
              <w:bottom w:val="single" w:sz="8" w:color="1E1E1E"/>
            </w:tcBorders>
          </w:tcPr>
          <w:p>
            <w:pPr>
              <w:spacing w:after="0"/>
              <w:rPr>
                <w:sz w:val="20"/>
                <w:szCs w:val="20"/>
                <w:color w:val="auto"/>
              </w:rPr>
            </w:pPr>
          </w:p>
        </w:tc>
        <w:tc>
          <w:tcPr>
            <w:tcW w:w="8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1,658.4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income (loss)</w:t>
            </w:r>
          </w:p>
        </w:tc>
        <w:tc>
          <w:tcPr>
            <w:tcW w:w="220" w:type="dxa"/>
            <w:vAlign w:val="bottom"/>
            <w:shd w:val="clear" w:color="auto" w:fill="E1E1E1"/>
          </w:tcPr>
          <w:p>
            <w:pPr>
              <w:spacing w:after="0"/>
              <w:rPr>
                <w:sz w:val="20"/>
                <w:szCs w:val="20"/>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877.7</w:t>
            </w:r>
          </w:p>
        </w:tc>
        <w:tc>
          <w:tcPr>
            <w:tcW w:w="28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837.1</w:t>
            </w:r>
          </w:p>
        </w:tc>
        <w:tc>
          <w:tcPr>
            <w:tcW w:w="260" w:type="dxa"/>
            <w:vAlign w:val="bottom"/>
            <w:shd w:val="clear" w:color="auto" w:fill="E1E1E1"/>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(263.0)</w:t>
            </w:r>
          </w:p>
        </w:tc>
        <w:tc>
          <w:tcPr>
            <w:tcW w:w="0" w:type="dxa"/>
            <w:vAlign w:val="bottom"/>
          </w:tcPr>
          <w:p>
            <w:pPr>
              <w:spacing w:after="0"/>
              <w:rPr>
                <w:sz w:val="1"/>
                <w:szCs w:val="1"/>
                <w:color w:val="auto"/>
              </w:rPr>
            </w:pPr>
          </w:p>
        </w:tc>
      </w:tr>
      <w:tr>
        <w:trPr>
          <w:trHeight w:val="24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1E1E1E"/>
              </w:rPr>
              <w:t>Interest expense</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1E1E1E"/>
              </w:rPr>
              <w:t>(637.5)</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(686.9)</w:t>
            </w: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(675.8)</w:t>
            </w:r>
          </w:p>
        </w:tc>
        <w:tc>
          <w:tcPr>
            <w:tcW w:w="0" w:type="dxa"/>
            <w:vAlign w:val="bottom"/>
          </w:tcPr>
          <w:p>
            <w:pPr>
              <w:spacing w:after="0"/>
              <w:rPr>
                <w:sz w:val="1"/>
                <w:szCs w:val="1"/>
                <w:color w:val="auto"/>
              </w:rPr>
            </w:pPr>
          </w:p>
        </w:tc>
      </w:tr>
      <w:tr>
        <w:trPr>
          <w:trHeight w:val="244"/>
        </w:trPr>
        <w:tc>
          <w:tcPr>
            <w:tcW w:w="7020" w:type="dxa"/>
            <w:vAlign w:val="bottom"/>
            <w:shd w:val="clear" w:color="auto" w:fill="E1E1E1"/>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Other expense, net </w:t>
            </w:r>
            <w:r>
              <w:rPr>
                <w:rFonts w:ascii="Times New Roman" w:cs="Times New Roman" w:eastAsia="Times New Roman" w:hAnsi="Times New Roman"/>
                <w:sz w:val="26"/>
                <w:szCs w:val="26"/>
                <w:color w:val="1E1E1E"/>
                <w:vertAlign w:val="superscript"/>
              </w:rPr>
              <w:t>(3)</w:t>
            </w:r>
          </w:p>
        </w:tc>
        <w:tc>
          <w:tcPr>
            <w:tcW w:w="220" w:type="dxa"/>
            <w:vAlign w:val="bottom"/>
            <w:shd w:val="clear" w:color="auto" w:fill="E1E1E1"/>
          </w:tcPr>
          <w:p>
            <w:pPr>
              <w:spacing w:after="0"/>
              <w:rPr>
                <w:sz w:val="21"/>
                <w:szCs w:val="21"/>
                <w:color w:val="auto"/>
              </w:rPr>
            </w:pPr>
          </w:p>
        </w:tc>
        <w:tc>
          <w:tcPr>
            <w:tcW w:w="106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18"/>
                <w:szCs w:val="18"/>
                <w:color w:val="1E1E1E"/>
              </w:rPr>
              <w:t>(14.9)</w:t>
            </w:r>
          </w:p>
        </w:tc>
        <w:tc>
          <w:tcPr>
            <w:tcW w:w="24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18"/>
                <w:szCs w:val="18"/>
                <w:color w:val="1E1E1E"/>
              </w:rPr>
              <w:t>(18.2)</w:t>
            </w:r>
          </w:p>
        </w:tc>
        <w:tc>
          <w:tcPr>
            <w:tcW w:w="220" w:type="dxa"/>
            <w:vAlign w:val="bottom"/>
            <w:shd w:val="clear" w:color="auto" w:fill="E1E1E1"/>
          </w:tcPr>
          <w:p>
            <w:pPr>
              <w:spacing w:after="0"/>
              <w:rPr>
                <w:sz w:val="21"/>
                <w:szCs w:val="21"/>
                <w:color w:val="auto"/>
              </w:rPr>
            </w:pPr>
          </w:p>
        </w:tc>
        <w:tc>
          <w:tcPr>
            <w:tcW w:w="9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18"/>
                <w:szCs w:val="18"/>
                <w:color w:val="1E1E1E"/>
              </w:rPr>
              <w:t>(14.8)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Income (loss) from operations of discontinued businesses before income taxes</w:t>
            </w:r>
          </w:p>
        </w:tc>
        <w:tc>
          <w:tcPr>
            <w:tcW w:w="220" w:type="dxa"/>
            <w:vAlign w:val="bottom"/>
            <w:shd w:val="clear" w:color="auto" w:fill="1E1E1E"/>
          </w:tcPr>
          <w:p>
            <w:pPr>
              <w:spacing w:after="0" w:line="20" w:lineRule="exact"/>
              <w:rPr>
                <w:sz w:val="1"/>
                <w:szCs w:val="1"/>
                <w:color w:val="auto"/>
              </w:rPr>
            </w:pPr>
          </w:p>
        </w:tc>
        <w:tc>
          <w:tcPr>
            <w:tcW w:w="780" w:type="dxa"/>
            <w:vAlign w:val="bottom"/>
            <w:shd w:val="clear" w:color="auto" w:fill="1E1E1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84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225.3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132.0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(953.6)</w:t>
            </w:r>
          </w:p>
        </w:tc>
        <w:tc>
          <w:tcPr>
            <w:tcW w:w="0" w:type="dxa"/>
            <w:vAlign w:val="bottom"/>
          </w:tcPr>
          <w:p>
            <w:pPr>
              <w:spacing w:after="0"/>
              <w:rPr>
                <w:sz w:val="1"/>
                <w:szCs w:val="1"/>
                <w:color w:val="auto"/>
              </w:rPr>
            </w:pPr>
          </w:p>
        </w:tc>
      </w:tr>
      <w:tr>
        <w:trPr>
          <w:trHeight w:val="244"/>
        </w:trPr>
        <w:tc>
          <w:tcPr>
            <w:tcW w:w="70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Gain (loss) on disposal of discontinued operations before income taxes</w:t>
            </w:r>
          </w:p>
        </w:tc>
        <w:tc>
          <w:tcPr>
            <w:tcW w:w="220" w:type="dxa"/>
            <w:vAlign w:val="bottom"/>
            <w:shd w:val="clear" w:color="auto" w:fill="E1E1E1"/>
          </w:tcPr>
          <w:p>
            <w:pPr>
              <w:spacing w:after="0"/>
              <w:rPr>
                <w:sz w:val="21"/>
                <w:szCs w:val="21"/>
                <w:color w:val="auto"/>
              </w:rPr>
            </w:pP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869.0</w:t>
            </w:r>
          </w:p>
        </w:tc>
        <w:tc>
          <w:tcPr>
            <w:tcW w:w="28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2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18"/>
                <w:szCs w:val="18"/>
                <w:color w:val="1E1E1E"/>
              </w:rPr>
              <w:t>(27.9)</w:t>
            </w:r>
          </w:p>
        </w:tc>
        <w:tc>
          <w:tcPr>
            <w:tcW w:w="220" w:type="dxa"/>
            <w:vAlign w:val="bottom"/>
            <w:shd w:val="clear" w:color="auto" w:fill="E1E1E1"/>
          </w:tcPr>
          <w:p>
            <w:pPr>
              <w:spacing w:after="0"/>
              <w:rPr>
                <w:sz w:val="21"/>
                <w:szCs w:val="21"/>
                <w:color w:val="auto"/>
              </w:rPr>
            </w:pPr>
          </w:p>
        </w:tc>
        <w:tc>
          <w:tcPr>
            <w:tcW w:w="92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c>
          <w:tcPr>
            <w:tcW w:w="0" w:type="dxa"/>
            <w:vAlign w:val="bottom"/>
          </w:tcPr>
          <w:p>
            <w:pPr>
              <w:spacing w:after="0"/>
              <w:rPr>
                <w:sz w:val="1"/>
                <w:szCs w:val="1"/>
                <w:color w:val="auto"/>
              </w:rPr>
            </w:pPr>
          </w:p>
        </w:tc>
      </w:tr>
      <w:tr>
        <w:trPr>
          <w:trHeight w:val="24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1E1E1E"/>
              </w:rPr>
              <w:t>Income tax (expense) benefit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865.1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(213.6)</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Income (loss) from discontinued operations, net of income taxes</w:t>
            </w:r>
          </w:p>
        </w:tc>
        <w:tc>
          <w:tcPr>
            <w:tcW w:w="220" w:type="dxa"/>
            <w:vAlign w:val="bottom"/>
            <w:shd w:val="clear" w:color="auto" w:fill="1E1E1E"/>
          </w:tcPr>
          <w:p>
            <w:pPr>
              <w:spacing w:after="0" w:line="20" w:lineRule="exact"/>
              <w:rPr>
                <w:sz w:val="1"/>
                <w:szCs w:val="1"/>
                <w:color w:val="auto"/>
              </w:rPr>
            </w:pPr>
          </w:p>
        </w:tc>
        <w:tc>
          <w:tcPr>
            <w:tcW w:w="780" w:type="dxa"/>
            <w:vAlign w:val="bottom"/>
            <w:shd w:val="clear" w:color="auto" w:fill="1E1E1E"/>
          </w:tcPr>
          <w:p>
            <w:pPr>
              <w:spacing w:after="0" w:line="20" w:lineRule="exact"/>
              <w:rPr>
                <w:sz w:val="1"/>
                <w:szCs w:val="1"/>
                <w:color w:val="auto"/>
              </w:rPr>
            </w:pPr>
          </w:p>
        </w:tc>
        <w:tc>
          <w:tcPr>
            <w:tcW w:w="280" w:type="dxa"/>
            <w:vAlign w:val="bottom"/>
            <w:shd w:val="clear" w:color="auto" w:fill="E1E1E1"/>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84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20" w:type="dxa"/>
            <w:vAlign w:val="bottom"/>
            <w:vMerge w:val="continue"/>
            <w:shd w:val="clear" w:color="auto" w:fill="E1E1E1"/>
          </w:tcPr>
          <w:p>
            <w:pPr>
              <w:spacing w:after="0"/>
              <w:rPr>
                <w:sz w:val="20"/>
                <w:szCs w:val="20"/>
                <w:color w:val="auto"/>
              </w:rPr>
            </w:pPr>
          </w:p>
        </w:tc>
        <w:tc>
          <w:tcPr>
            <w:tcW w:w="220" w:type="dxa"/>
            <w:vAlign w:val="bottom"/>
            <w:shd w:val="clear" w:color="auto" w:fill="E1E1E1"/>
          </w:tcPr>
          <w:p>
            <w:pPr>
              <w:jc w:val="right"/>
              <w:ind w:right="30"/>
              <w:spacing w:after="0"/>
              <w:rPr>
                <w:sz w:val="20"/>
                <w:szCs w:val="20"/>
                <w:color w:val="auto"/>
              </w:rPr>
            </w:pPr>
            <w:r>
              <w:rPr>
                <w:rFonts w:ascii="Times New Roman" w:cs="Times New Roman" w:eastAsia="Times New Roman" w:hAnsi="Times New Roman"/>
                <w:sz w:val="18"/>
                <w:szCs w:val="18"/>
                <w:color w:val="1E1E1E"/>
                <w:w w:val="88"/>
              </w:rPr>
              <w:t>$</w:t>
            </w:r>
          </w:p>
        </w:tc>
        <w:tc>
          <w:tcPr>
            <w:tcW w:w="7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18"/>
                <w:szCs w:val="18"/>
                <w:color w:val="1E1E1E"/>
              </w:rPr>
              <w:t>1,959.4</w:t>
            </w:r>
          </w:p>
        </w:tc>
        <w:tc>
          <w:tcPr>
            <w:tcW w:w="280" w:type="dxa"/>
            <w:vAlign w:val="bottom"/>
            <w:shd w:val="clear" w:color="auto" w:fill="E1E1E1"/>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1E1E1E"/>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(109.5)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1E1E1E"/>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(854.0)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780" w:type="dxa"/>
            <w:vAlign w:val="bottom"/>
            <w:tcBorders>
              <w:top w:val="single" w:sz="8" w:color="1E1E1E"/>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-1131570</wp:posOffset>
            </wp:positionV>
            <wp:extent cx="675005" cy="154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675005" cy="15494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-192405</wp:posOffset>
            </wp:positionV>
            <wp:extent cx="1541780" cy="164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extLst>
                        <a:ext uri="{28A0092B-C50C-407E-A947-70E740481C1C}"/>
                      </a:extLst>
                    </a:blip>
                    <a:srcRect/>
                    <a:stretch>
                      <a:fillRect/>
                    </a:stretch>
                  </pic:blipFill>
                  <pic:spPr bwMode="auto">
                    <a:xfrm>
                      <a:off x="0" y="0"/>
                      <a:ext cx="1541780" cy="164465"/>
                    </a:xfrm>
                    <a:prstGeom prst="rect">
                      <a:avLst/>
                    </a:prstGeom>
                    <a:noFill/>
                  </pic:spPr>
                </pic:pic>
              </a:graphicData>
            </a:graphic>
          </wp:anchor>
        </w:drawing>
      </w:r>
    </w:p>
    <w:p>
      <w:pPr>
        <w:spacing w:after="0" w:line="80" w:lineRule="exact"/>
        <w:rPr>
          <w:sz w:val="20"/>
          <w:szCs w:val="20"/>
          <w:color w:val="auto"/>
        </w:rPr>
      </w:pPr>
    </w:p>
    <w:p>
      <w:pPr>
        <w:ind w:left="480" w:right="160" w:hanging="480"/>
        <w:spacing w:after="0" w:line="272" w:lineRule="auto"/>
        <w:tabs>
          <w:tab w:leader="none" w:pos="480" w:val="left"/>
        </w:tabs>
        <w:numPr>
          <w:ilvl w:val="0"/>
          <w:numId w:val="5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Cost of sales includes a charge of $19.5 million for excess and obsolete inventory related to the Home business during the year ended December 31, 2024.</w:t>
      </w:r>
    </w:p>
    <w:p>
      <w:pPr>
        <w:spacing w:after="0" w:line="1" w:lineRule="exact"/>
        <w:rPr>
          <w:rFonts w:ascii="Times New Roman" w:cs="Times New Roman" w:eastAsia="Times New Roman" w:hAnsi="Times New Roman"/>
          <w:sz w:val="19"/>
          <w:szCs w:val="19"/>
          <w:color w:val="1E1E1E"/>
        </w:rPr>
      </w:pPr>
    </w:p>
    <w:p>
      <w:pPr>
        <w:ind w:left="480" w:hanging="480"/>
        <w:spacing w:after="0" w:line="250" w:lineRule="auto"/>
        <w:tabs>
          <w:tab w:leader="none" w:pos="480" w:val="left"/>
        </w:tabs>
        <w:numPr>
          <w:ilvl w:val="0"/>
          <w:numId w:val="5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Asset impairments include a loss on impairment of $19.2 million related to Home business patents for the year ended December 31, 2024. For the year ended December 31, 2023, asset impairments reflect a partial goodwill impairment charge of $99.1 million recorded for the BDCC reporting unit of the CCS segment, a loss of $203.4 million on classification as held for sale related to the Home business and a partial impairment of $469.2 million related to the Home segment’s intangible assets. The fair value measurements were determined using Level 1 and/or Level 3 valuation inputs.</w:t>
      </w:r>
    </w:p>
    <w:p>
      <w:pPr>
        <w:spacing w:after="0" w:line="14" w:lineRule="exact"/>
        <w:rPr>
          <w:rFonts w:ascii="Times New Roman" w:cs="Times New Roman" w:eastAsia="Times New Roman" w:hAnsi="Times New Roman"/>
          <w:sz w:val="19"/>
          <w:szCs w:val="19"/>
          <w:color w:val="1E1E1E"/>
        </w:rPr>
      </w:pPr>
    </w:p>
    <w:p>
      <w:pPr>
        <w:ind w:left="480" w:right="40" w:hanging="480"/>
        <w:spacing w:after="0" w:line="280" w:lineRule="auto"/>
        <w:tabs>
          <w:tab w:leader="none" w:pos="480" w:val="left"/>
        </w:tabs>
        <w:numPr>
          <w:ilvl w:val="0"/>
          <w:numId w:val="5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Other expense, net includes a loss on equity investment of $17.0 million related to the Home business for the year ended December 31, 2024.</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77</w:t>
      </w:r>
    </w:p>
    <w:p>
      <w:pPr>
        <w:sectPr>
          <w:pgSz w:w="11880" w:h="15480" w:orient="portrait"/>
          <w:cols w:equalWidth="0" w:num="1">
            <w:col w:w="10800"/>
          </w:cols>
          <w:pgMar w:left="540" w:top="515" w:right="540" w:bottom="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presents balance sheet information for assets and liabilities held for sale related to the discontinued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Borders>
              <w:bottom w:val="single" w:sz="8" w:color="E1E1E1"/>
            </w:tcBorders>
          </w:tcPr>
          <w:p>
            <w:pPr>
              <w:spacing w:after="0"/>
              <w:rPr>
                <w:sz w:val="17"/>
                <w:szCs w:val="17"/>
                <w:color w:val="auto"/>
              </w:rPr>
            </w:pPr>
          </w:p>
        </w:tc>
        <w:tc>
          <w:tcPr>
            <w:tcW w:w="20" w:type="dxa"/>
            <w:vAlign w:val="bottom"/>
            <w:tcBorders>
              <w:bottom w:val="single" w:sz="8" w:color="E1E1E1"/>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840" w:type="dxa"/>
            <w:vAlign w:val="bottom"/>
            <w:tcBorders>
              <w:bottom w:val="single" w:sz="8" w:color="1E1E1E"/>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1E1E1E"/>
              </w:rPr>
              <w:t>December 31, 2025</w:t>
            </w:r>
          </w:p>
        </w:tc>
        <w:tc>
          <w:tcPr>
            <w:tcW w:w="280" w:type="dxa"/>
            <w:vAlign w:val="bottom"/>
            <w:tcBorders>
              <w:bottom w:val="single" w:sz="8" w:color="E1E1E1"/>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720" w:type="dxa"/>
            <w:vAlign w:val="bottom"/>
            <w:tcBorders>
              <w:bottom w:val="single" w:sz="8" w:color="1E1E1E"/>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1E1E1E"/>
              </w:rPr>
              <w:t>December 31, 2024</w:t>
            </w:r>
          </w:p>
        </w:tc>
        <w:tc>
          <w:tcPr>
            <w:tcW w:w="60" w:type="dxa"/>
            <w:vAlign w:val="bottom"/>
            <w:tcBorders>
              <w:bottom w:val="single" w:sz="8" w:color="E1E1E1"/>
            </w:tcBorders>
          </w:tcPr>
          <w:p>
            <w:pPr>
              <w:spacing w:after="0"/>
              <w:rPr>
                <w:sz w:val="17"/>
                <w:szCs w:val="17"/>
                <w:color w:val="auto"/>
              </w:rPr>
            </w:pPr>
          </w:p>
        </w:tc>
      </w:tr>
      <w:tr>
        <w:trPr>
          <w:trHeight w:val="239"/>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20" w:type="dxa"/>
            <w:vAlign w:val="bottom"/>
            <w:shd w:val="clear" w:color="auto" w:fill="E1E1E1"/>
          </w:tcPr>
          <w:p>
            <w:pPr>
              <w:spacing w:after="0"/>
              <w:rPr>
                <w:sz w:val="20"/>
                <w:szCs w:val="20"/>
                <w:color w:val="auto"/>
              </w:rPr>
            </w:pPr>
          </w:p>
        </w:tc>
        <w:tc>
          <w:tcPr>
            <w:tcW w:w="240" w:type="dxa"/>
            <w:vAlign w:val="bottom"/>
            <w:shd w:val="clear" w:color="auto" w:fill="E1E1E1"/>
          </w:tcPr>
          <w:p>
            <w:pPr>
              <w:jc w:val="right"/>
              <w:ind w:right="75"/>
              <w:spacing w:after="0"/>
              <w:rPr>
                <w:sz w:val="20"/>
                <w:szCs w:val="20"/>
                <w:color w:val="auto"/>
              </w:rPr>
            </w:pPr>
            <w:r>
              <w:rPr>
                <w:rFonts w:ascii="Times New Roman" w:cs="Times New Roman" w:eastAsia="Times New Roman" w:hAnsi="Times New Roman"/>
                <w:sz w:val="17"/>
                <w:szCs w:val="17"/>
                <w:color w:val="1E1E1E"/>
                <w:w w:val="70"/>
              </w:rPr>
              <w:t>$</w:t>
            </w:r>
          </w:p>
        </w:tc>
        <w:tc>
          <w:tcPr>
            <w:tcW w:w="1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168.4</w:t>
            </w:r>
          </w:p>
        </w:tc>
        <w:tc>
          <w:tcPr>
            <w:tcW w:w="280" w:type="dxa"/>
            <w:vAlign w:val="bottom"/>
            <w:shd w:val="clear" w:color="auto" w:fill="E1E1E1"/>
          </w:tcPr>
          <w:p>
            <w:pPr>
              <w:spacing w:after="0"/>
              <w:rPr>
                <w:sz w:val="20"/>
                <w:szCs w:val="20"/>
                <w:color w:val="auto"/>
              </w:rPr>
            </w:pPr>
          </w:p>
        </w:tc>
        <w:tc>
          <w:tcPr>
            <w:tcW w:w="2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259.2</w:t>
            </w:r>
          </w:p>
        </w:tc>
        <w:tc>
          <w:tcPr>
            <w:tcW w:w="60" w:type="dxa"/>
            <w:vAlign w:val="bottom"/>
            <w:shd w:val="clear" w:color="auto" w:fill="E1E1E1"/>
          </w:tcPr>
          <w:p>
            <w:pPr>
              <w:spacing w:after="0"/>
              <w:rPr>
                <w:sz w:val="20"/>
                <w:szCs w:val="20"/>
                <w:color w:val="auto"/>
              </w:rPr>
            </w:pP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1E1E1E"/>
              </w:rPr>
              <w:t>Accounts receivable, net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626.5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687.2</w:t>
            </w:r>
          </w:p>
        </w:tc>
        <w:tc>
          <w:tcPr>
            <w:tcW w:w="60" w:type="dxa"/>
            <w:vAlign w:val="bottom"/>
          </w:tcPr>
          <w:p>
            <w:pPr>
              <w:spacing w:after="0"/>
              <w:rPr>
                <w:sz w:val="21"/>
                <w:szCs w:val="21"/>
                <w:color w:val="auto"/>
              </w:rPr>
            </w:pPr>
          </w:p>
        </w:tc>
      </w:tr>
      <w:tr>
        <w:trPr>
          <w:trHeight w:val="244"/>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Inventories, net</w:t>
            </w:r>
          </w:p>
        </w:tc>
        <w:tc>
          <w:tcPr>
            <w:tcW w:w="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512.4</w:t>
            </w:r>
          </w:p>
        </w:tc>
        <w:tc>
          <w:tcPr>
            <w:tcW w:w="28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522.2</w:t>
            </w:r>
          </w:p>
        </w:tc>
        <w:tc>
          <w:tcPr>
            <w:tcW w:w="60" w:type="dxa"/>
            <w:vAlign w:val="bottom"/>
            <w:shd w:val="clear" w:color="auto" w:fill="E1E1E1"/>
          </w:tcPr>
          <w:p>
            <w:pPr>
              <w:spacing w:after="0"/>
              <w:rPr>
                <w:sz w:val="21"/>
                <w:szCs w:val="21"/>
                <w:color w:val="auto"/>
              </w:rPr>
            </w:pP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76.5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62.6</w:t>
            </w:r>
          </w:p>
        </w:tc>
        <w:tc>
          <w:tcPr>
            <w:tcW w:w="60" w:type="dxa"/>
            <w:vAlign w:val="bottom"/>
          </w:tcPr>
          <w:p>
            <w:pPr>
              <w:spacing w:after="0"/>
              <w:rPr>
                <w:sz w:val="21"/>
                <w:szCs w:val="21"/>
                <w:color w:val="auto"/>
              </w:rPr>
            </w:pPr>
          </w:p>
        </w:tc>
      </w:tr>
      <w:tr>
        <w:trPr>
          <w:trHeight w:val="244"/>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Property, plant, and equipment, net</w:t>
            </w:r>
          </w:p>
        </w:tc>
        <w:tc>
          <w:tcPr>
            <w:tcW w:w="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293.4</w:t>
            </w:r>
          </w:p>
        </w:tc>
        <w:tc>
          <w:tcPr>
            <w:tcW w:w="28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56.9</w:t>
            </w:r>
          </w:p>
        </w:tc>
        <w:tc>
          <w:tcPr>
            <w:tcW w:w="60" w:type="dxa"/>
            <w:vAlign w:val="bottom"/>
            <w:shd w:val="clear" w:color="auto" w:fill="E1E1E1"/>
          </w:tcPr>
          <w:p>
            <w:pPr>
              <w:spacing w:after="0"/>
              <w:rPr>
                <w:sz w:val="21"/>
                <w:szCs w:val="21"/>
                <w:color w:val="auto"/>
              </w:rPr>
            </w:pP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1E1E1E"/>
              </w:rPr>
              <w:t>Goodwill</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2,160.6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617.8</w:t>
            </w:r>
          </w:p>
        </w:tc>
        <w:tc>
          <w:tcPr>
            <w:tcW w:w="60" w:type="dxa"/>
            <w:vAlign w:val="bottom"/>
          </w:tcPr>
          <w:p>
            <w:pPr>
              <w:spacing w:after="0"/>
              <w:rPr>
                <w:sz w:val="21"/>
                <w:szCs w:val="21"/>
                <w:color w:val="auto"/>
              </w:rPr>
            </w:pPr>
          </w:p>
        </w:tc>
      </w:tr>
      <w:tr>
        <w:trPr>
          <w:trHeight w:val="244"/>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intangible assets, net</w:t>
            </w:r>
          </w:p>
        </w:tc>
        <w:tc>
          <w:tcPr>
            <w:tcW w:w="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186.0</w:t>
            </w:r>
          </w:p>
        </w:tc>
        <w:tc>
          <w:tcPr>
            <w:tcW w:w="28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111.6</w:t>
            </w:r>
          </w:p>
        </w:tc>
        <w:tc>
          <w:tcPr>
            <w:tcW w:w="60" w:type="dxa"/>
            <w:vAlign w:val="bottom"/>
            <w:shd w:val="clear" w:color="auto" w:fill="E1E1E1"/>
          </w:tcPr>
          <w:p>
            <w:pPr>
              <w:spacing w:after="0"/>
              <w:rPr>
                <w:sz w:val="21"/>
                <w:szCs w:val="21"/>
                <w:color w:val="auto"/>
              </w:rPr>
            </w:pP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1E1E1E"/>
              </w:rPr>
              <w:t>Deferred income taxes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107.0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w:t>
            </w:r>
          </w:p>
        </w:tc>
        <w:tc>
          <w:tcPr>
            <w:tcW w:w="60" w:type="dxa"/>
            <w:vAlign w:val="bottom"/>
          </w:tcPr>
          <w:p>
            <w:pPr>
              <w:spacing w:after="0"/>
              <w:rPr>
                <w:sz w:val="21"/>
                <w:szCs w:val="21"/>
                <w:color w:val="auto"/>
              </w:rPr>
            </w:pPr>
          </w:p>
        </w:tc>
      </w:tr>
      <w:tr>
        <w:trPr>
          <w:trHeight w:val="244"/>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assets</w:t>
            </w:r>
          </w:p>
        </w:tc>
        <w:tc>
          <w:tcPr>
            <w:tcW w:w="20" w:type="dxa"/>
            <w:vAlign w:val="bottom"/>
            <w:shd w:val="clear" w:color="auto" w:fill="E1E1E1"/>
          </w:tcPr>
          <w:p>
            <w:pPr>
              <w:spacing w:after="0"/>
              <w:rPr>
                <w:sz w:val="21"/>
                <w:szCs w:val="21"/>
                <w:color w:val="auto"/>
              </w:rPr>
            </w:pPr>
          </w:p>
        </w:tc>
        <w:tc>
          <w:tcPr>
            <w:tcW w:w="240" w:type="dxa"/>
            <w:vAlign w:val="bottom"/>
            <w:tcBorders>
              <w:bottom w:val="single" w:sz="8" w:color="1E1E1E"/>
            </w:tcBorders>
            <w:shd w:val="clear" w:color="auto" w:fill="E1E1E1"/>
          </w:tcPr>
          <w:p>
            <w:pPr>
              <w:spacing w:after="0"/>
              <w:rPr>
                <w:sz w:val="21"/>
                <w:szCs w:val="21"/>
                <w:color w:val="auto"/>
              </w:rPr>
            </w:pPr>
          </w:p>
        </w:tc>
        <w:tc>
          <w:tcPr>
            <w:tcW w:w="18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193.7</w:t>
            </w:r>
          </w:p>
        </w:tc>
        <w:tc>
          <w:tcPr>
            <w:tcW w:w="280" w:type="dxa"/>
            <w:vAlign w:val="bottom"/>
            <w:shd w:val="clear" w:color="auto" w:fill="E1E1E1"/>
          </w:tcPr>
          <w:p>
            <w:pPr>
              <w:spacing w:after="0"/>
              <w:rPr>
                <w:sz w:val="21"/>
                <w:szCs w:val="21"/>
                <w:color w:val="auto"/>
              </w:rPr>
            </w:pPr>
          </w:p>
        </w:tc>
        <w:tc>
          <w:tcPr>
            <w:tcW w:w="200" w:type="dxa"/>
            <w:vAlign w:val="bottom"/>
            <w:tcBorders>
              <w:bottom w:val="single" w:sz="8" w:color="1E1E1E"/>
            </w:tcBorders>
            <w:shd w:val="clear" w:color="auto" w:fill="E1E1E1"/>
          </w:tcPr>
          <w:p>
            <w:pPr>
              <w:spacing w:after="0"/>
              <w:rPr>
                <w:sz w:val="21"/>
                <w:szCs w:val="21"/>
                <w:color w:val="auto"/>
              </w:rPr>
            </w:pPr>
          </w:p>
        </w:tc>
        <w:tc>
          <w:tcPr>
            <w:tcW w:w="17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7.8</w:t>
            </w:r>
          </w:p>
        </w:tc>
        <w:tc>
          <w:tcPr>
            <w:tcW w:w="60" w:type="dxa"/>
            <w:vAlign w:val="bottom"/>
            <w:shd w:val="clear" w:color="auto" w:fill="E1E1E1"/>
          </w:tcPr>
          <w:p>
            <w:pPr>
              <w:spacing w:after="0"/>
              <w:rPr>
                <w:sz w:val="21"/>
                <w:szCs w:val="21"/>
                <w:color w:val="auto"/>
              </w:rPr>
            </w:pPr>
          </w:p>
        </w:tc>
      </w:tr>
      <w:tr>
        <w:trPr>
          <w:trHeight w:val="239"/>
        </w:trPr>
        <w:tc>
          <w:tcPr>
            <w:tcW w:w="6440" w:type="dxa"/>
            <w:vAlign w:val="bottom"/>
            <w:tcBorders>
              <w:bottom w:val="single" w:sz="8" w:color="E1E1E1"/>
            </w:tcBorders>
          </w:tcPr>
          <w:p>
            <w:pPr>
              <w:ind w:left="300"/>
              <w:spacing w:after="0"/>
              <w:rPr>
                <w:sz w:val="20"/>
                <w:szCs w:val="20"/>
                <w:color w:val="auto"/>
              </w:rPr>
            </w:pPr>
            <w:r>
              <w:rPr>
                <w:rFonts w:ascii="Times New Roman" w:cs="Times New Roman" w:eastAsia="Times New Roman" w:hAnsi="Times New Roman"/>
                <w:sz w:val="20"/>
                <w:szCs w:val="20"/>
                <w:color w:val="1E1E1E"/>
              </w:rPr>
              <w:t>Total current assets held for sale</w:t>
            </w:r>
          </w:p>
        </w:tc>
        <w:tc>
          <w:tcPr>
            <w:tcW w:w="20" w:type="dxa"/>
            <w:vAlign w:val="bottom"/>
            <w:tcBorders>
              <w:bottom w:val="single" w:sz="8" w:color="E1E1E1"/>
            </w:tcBorders>
          </w:tcPr>
          <w:p>
            <w:pPr>
              <w:spacing w:after="0"/>
              <w:rPr>
                <w:sz w:val="20"/>
                <w:szCs w:val="20"/>
                <w:color w:val="auto"/>
              </w:rPr>
            </w:pPr>
          </w:p>
        </w:tc>
        <w:tc>
          <w:tcPr>
            <w:tcW w:w="240" w:type="dxa"/>
            <w:vAlign w:val="bottom"/>
            <w:tcBorders>
              <w:bottom w:val="single" w:sz="8" w:color="1E1E1E"/>
            </w:tcBorders>
          </w:tcPr>
          <w:p>
            <w:pPr>
              <w:jc w:val="right"/>
              <w:ind w:right="75"/>
              <w:spacing w:after="0"/>
              <w:rPr>
                <w:sz w:val="20"/>
                <w:szCs w:val="20"/>
                <w:color w:val="auto"/>
              </w:rPr>
            </w:pPr>
            <w:r>
              <w:rPr>
                <w:rFonts w:ascii="Times New Roman" w:cs="Times New Roman" w:eastAsia="Times New Roman" w:hAnsi="Times New Roman"/>
                <w:sz w:val="17"/>
                <w:szCs w:val="17"/>
                <w:color w:val="1E1E1E"/>
                <w:w w:val="70"/>
              </w:rPr>
              <w:t>$</w:t>
            </w:r>
          </w:p>
        </w:tc>
        <w:tc>
          <w:tcPr>
            <w:tcW w:w="1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4,324.5</w:t>
            </w:r>
          </w:p>
        </w:tc>
        <w:tc>
          <w:tcPr>
            <w:tcW w:w="280" w:type="dxa"/>
            <w:vAlign w:val="bottom"/>
            <w:tcBorders>
              <w:bottom w:val="single" w:sz="8" w:color="E1E1E1"/>
            </w:tcBorders>
          </w:tcPr>
          <w:p>
            <w:pPr>
              <w:spacing w:after="0"/>
              <w:rPr>
                <w:sz w:val="20"/>
                <w:szCs w:val="20"/>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2,327.5</w:t>
            </w:r>
          </w:p>
        </w:tc>
        <w:tc>
          <w:tcPr>
            <w:tcW w:w="60" w:type="dxa"/>
            <w:vAlign w:val="bottom"/>
            <w:tcBorders>
              <w:bottom w:val="single" w:sz="8" w:color="E1E1E1"/>
            </w:tcBorders>
          </w:tcPr>
          <w:p>
            <w:pPr>
              <w:spacing w:after="0"/>
              <w:rPr>
                <w:sz w:val="20"/>
                <w:szCs w:val="20"/>
                <w:color w:val="auto"/>
              </w:rPr>
            </w:pPr>
          </w:p>
        </w:tc>
      </w:tr>
      <w:tr>
        <w:trPr>
          <w:trHeight w:val="239"/>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Property, plant, and equipment, net</w:t>
            </w:r>
          </w:p>
        </w:tc>
        <w:tc>
          <w:tcPr>
            <w:tcW w:w="2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1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260.0</w:t>
            </w:r>
          </w:p>
        </w:tc>
        <w:tc>
          <w:tcPr>
            <w:tcW w:w="60" w:type="dxa"/>
            <w:vAlign w:val="bottom"/>
            <w:shd w:val="clear" w:color="auto" w:fill="E1E1E1"/>
          </w:tcPr>
          <w:p>
            <w:pPr>
              <w:spacing w:after="0"/>
              <w:rPr>
                <w:sz w:val="20"/>
                <w:szCs w:val="20"/>
                <w:color w:val="auto"/>
              </w:rPr>
            </w:pP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1E1E1E"/>
              </w:rPr>
              <w:t>Goodwill</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2,107.7</w:t>
            </w:r>
          </w:p>
        </w:tc>
        <w:tc>
          <w:tcPr>
            <w:tcW w:w="60" w:type="dxa"/>
            <w:vAlign w:val="bottom"/>
          </w:tcPr>
          <w:p>
            <w:pPr>
              <w:spacing w:after="0"/>
              <w:rPr>
                <w:sz w:val="21"/>
                <w:szCs w:val="21"/>
                <w:color w:val="auto"/>
              </w:rPr>
            </w:pPr>
          </w:p>
        </w:tc>
      </w:tr>
      <w:tr>
        <w:trPr>
          <w:trHeight w:val="244"/>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intangible assets, net</w:t>
            </w:r>
          </w:p>
        </w:tc>
        <w:tc>
          <w:tcPr>
            <w:tcW w:w="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237.0</w:t>
            </w:r>
          </w:p>
        </w:tc>
        <w:tc>
          <w:tcPr>
            <w:tcW w:w="60" w:type="dxa"/>
            <w:vAlign w:val="bottom"/>
            <w:shd w:val="clear" w:color="auto" w:fill="E1E1E1"/>
          </w:tcPr>
          <w:p>
            <w:pPr>
              <w:spacing w:after="0"/>
              <w:rPr>
                <w:sz w:val="21"/>
                <w:szCs w:val="21"/>
                <w:color w:val="auto"/>
              </w:rPr>
            </w:pP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1E1E1E"/>
              </w:rPr>
              <w:t>Deferred income taxes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106.2</w:t>
            </w:r>
          </w:p>
        </w:tc>
        <w:tc>
          <w:tcPr>
            <w:tcW w:w="60" w:type="dxa"/>
            <w:vAlign w:val="bottom"/>
          </w:tcPr>
          <w:p>
            <w:pPr>
              <w:spacing w:after="0"/>
              <w:rPr>
                <w:sz w:val="21"/>
                <w:szCs w:val="21"/>
                <w:color w:val="auto"/>
              </w:rPr>
            </w:pPr>
          </w:p>
        </w:tc>
      </w:tr>
      <w:tr>
        <w:trPr>
          <w:trHeight w:val="244"/>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noncurrent assets</w:t>
            </w:r>
          </w:p>
        </w:tc>
        <w:tc>
          <w:tcPr>
            <w:tcW w:w="20" w:type="dxa"/>
            <w:vAlign w:val="bottom"/>
            <w:shd w:val="clear" w:color="auto" w:fill="E1E1E1"/>
          </w:tcPr>
          <w:p>
            <w:pPr>
              <w:spacing w:after="0"/>
              <w:rPr>
                <w:sz w:val="21"/>
                <w:szCs w:val="21"/>
                <w:color w:val="auto"/>
              </w:rPr>
            </w:pPr>
          </w:p>
        </w:tc>
        <w:tc>
          <w:tcPr>
            <w:tcW w:w="240" w:type="dxa"/>
            <w:vAlign w:val="bottom"/>
            <w:tcBorders>
              <w:bottom w:val="single" w:sz="8" w:color="1E1E1E"/>
            </w:tcBorders>
            <w:shd w:val="clear" w:color="auto" w:fill="E1E1E1"/>
          </w:tcPr>
          <w:p>
            <w:pPr>
              <w:spacing w:after="0"/>
              <w:rPr>
                <w:sz w:val="21"/>
                <w:szCs w:val="21"/>
                <w:color w:val="auto"/>
              </w:rPr>
            </w:pPr>
          </w:p>
        </w:tc>
        <w:tc>
          <w:tcPr>
            <w:tcW w:w="18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1E1E1"/>
          </w:tcPr>
          <w:p>
            <w:pPr>
              <w:spacing w:after="0"/>
              <w:rPr>
                <w:sz w:val="21"/>
                <w:szCs w:val="21"/>
                <w:color w:val="auto"/>
              </w:rPr>
            </w:pPr>
          </w:p>
        </w:tc>
        <w:tc>
          <w:tcPr>
            <w:tcW w:w="200" w:type="dxa"/>
            <w:vAlign w:val="bottom"/>
            <w:tcBorders>
              <w:bottom w:val="single" w:sz="8" w:color="1E1E1E"/>
            </w:tcBorders>
            <w:shd w:val="clear" w:color="auto" w:fill="E1E1E1"/>
          </w:tcPr>
          <w:p>
            <w:pPr>
              <w:spacing w:after="0"/>
              <w:rPr>
                <w:sz w:val="21"/>
                <w:szCs w:val="21"/>
                <w:color w:val="auto"/>
              </w:rPr>
            </w:pPr>
          </w:p>
        </w:tc>
        <w:tc>
          <w:tcPr>
            <w:tcW w:w="17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149.4</w:t>
            </w:r>
          </w:p>
        </w:tc>
        <w:tc>
          <w:tcPr>
            <w:tcW w:w="60" w:type="dxa"/>
            <w:vAlign w:val="bottom"/>
            <w:shd w:val="clear" w:color="auto" w:fill="E1E1E1"/>
          </w:tcPr>
          <w:p>
            <w:pPr>
              <w:spacing w:after="0"/>
              <w:rPr>
                <w:sz w:val="21"/>
                <w:szCs w:val="21"/>
                <w:color w:val="auto"/>
              </w:rPr>
            </w:pPr>
          </w:p>
        </w:tc>
      </w:tr>
      <w:tr>
        <w:trPr>
          <w:trHeight w:val="239"/>
        </w:trPr>
        <w:tc>
          <w:tcPr>
            <w:tcW w:w="644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Total noncurrent assets</w:t>
            </w:r>
          </w:p>
        </w:tc>
        <w:tc>
          <w:tcPr>
            <w:tcW w:w="20" w:type="dxa"/>
            <w:vAlign w:val="bottom"/>
            <w:tcBorders>
              <w:bottom w:val="single" w:sz="8" w:color="E1E1E1"/>
            </w:tcBorders>
          </w:tcPr>
          <w:p>
            <w:pPr>
              <w:spacing w:after="0"/>
              <w:rPr>
                <w:sz w:val="20"/>
                <w:szCs w:val="20"/>
                <w:color w:val="auto"/>
              </w:rPr>
            </w:pPr>
          </w:p>
        </w:tc>
        <w:tc>
          <w:tcPr>
            <w:tcW w:w="240" w:type="dxa"/>
            <w:vAlign w:val="bottom"/>
            <w:tcBorders>
              <w:bottom w:val="single" w:sz="8" w:color="1E1E1E"/>
            </w:tcBorders>
          </w:tcPr>
          <w:p>
            <w:pPr>
              <w:spacing w:after="0"/>
              <w:rPr>
                <w:sz w:val="20"/>
                <w:szCs w:val="20"/>
                <w:color w:val="auto"/>
              </w:rPr>
            </w:pPr>
          </w:p>
        </w:tc>
        <w:tc>
          <w:tcPr>
            <w:tcW w:w="1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Borders>
              <w:bottom w:val="single" w:sz="8" w:color="E1E1E1"/>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2,860.3</w:t>
            </w:r>
          </w:p>
        </w:tc>
        <w:tc>
          <w:tcPr>
            <w:tcW w:w="60" w:type="dxa"/>
            <w:vAlign w:val="bottom"/>
            <w:tcBorders>
              <w:bottom w:val="single" w:sz="8" w:color="E1E1E1"/>
            </w:tcBorders>
          </w:tcPr>
          <w:p>
            <w:pPr>
              <w:spacing w:after="0"/>
              <w:rPr>
                <w:sz w:val="20"/>
                <w:szCs w:val="20"/>
                <w:color w:val="auto"/>
              </w:rPr>
            </w:pPr>
          </w:p>
        </w:tc>
      </w:tr>
      <w:tr>
        <w:trPr>
          <w:trHeight w:val="239"/>
        </w:trPr>
        <w:tc>
          <w:tcPr>
            <w:tcW w:w="644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Total assets held for sale</w:t>
            </w:r>
          </w:p>
        </w:tc>
        <w:tc>
          <w:tcPr>
            <w:tcW w:w="20" w:type="dxa"/>
            <w:vAlign w:val="bottom"/>
            <w:shd w:val="clear" w:color="auto" w:fill="E1E1E1"/>
          </w:tcPr>
          <w:p>
            <w:pPr>
              <w:spacing w:after="0"/>
              <w:rPr>
                <w:sz w:val="20"/>
                <w:szCs w:val="20"/>
                <w:color w:val="auto"/>
              </w:rPr>
            </w:pPr>
          </w:p>
        </w:tc>
        <w:tc>
          <w:tcPr>
            <w:tcW w:w="240" w:type="dxa"/>
            <w:vAlign w:val="bottom"/>
            <w:tcBorders>
              <w:bottom w:val="single" w:sz="8" w:color="1E1E1E"/>
            </w:tcBorders>
            <w:shd w:val="clear" w:color="auto" w:fill="E1E1E1"/>
          </w:tcPr>
          <w:p>
            <w:pPr>
              <w:jc w:val="right"/>
              <w:ind w:right="75"/>
              <w:spacing w:after="0"/>
              <w:rPr>
                <w:sz w:val="20"/>
                <w:szCs w:val="20"/>
                <w:color w:val="auto"/>
              </w:rPr>
            </w:pPr>
            <w:r>
              <w:rPr>
                <w:rFonts w:ascii="Times New Roman" w:cs="Times New Roman" w:eastAsia="Times New Roman" w:hAnsi="Times New Roman"/>
                <w:sz w:val="17"/>
                <w:szCs w:val="17"/>
                <w:color w:val="1E1E1E"/>
                <w:w w:val="70"/>
              </w:rPr>
              <w:t>$</w:t>
            </w:r>
          </w:p>
        </w:tc>
        <w:tc>
          <w:tcPr>
            <w:tcW w:w="18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4,324.5</w:t>
            </w:r>
          </w:p>
        </w:tc>
        <w:tc>
          <w:tcPr>
            <w:tcW w:w="280" w:type="dxa"/>
            <w:vAlign w:val="bottom"/>
            <w:shd w:val="clear" w:color="auto" w:fill="E1E1E1"/>
          </w:tcPr>
          <w:p>
            <w:pPr>
              <w:spacing w:after="0"/>
              <w:rPr>
                <w:sz w:val="20"/>
                <w:szCs w:val="20"/>
                <w:color w:val="auto"/>
              </w:rPr>
            </w:pPr>
          </w:p>
        </w:tc>
        <w:tc>
          <w:tcPr>
            <w:tcW w:w="2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5,187.8</w:t>
            </w:r>
          </w:p>
        </w:tc>
        <w:tc>
          <w:tcPr>
            <w:tcW w:w="60" w:type="dxa"/>
            <w:vAlign w:val="bottom"/>
            <w:shd w:val="clear" w:color="auto" w:fill="E1E1E1"/>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84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7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6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Accounts payable</w:t>
            </w:r>
          </w:p>
        </w:tc>
        <w:tc>
          <w:tcPr>
            <w:tcW w:w="260" w:type="dxa"/>
            <w:vAlign w:val="bottom"/>
            <w:gridSpan w:val="2"/>
            <w:shd w:val="clear" w:color="auto" w:fill="E1E1E1"/>
          </w:tcPr>
          <w:p>
            <w:pPr>
              <w:jc w:val="right"/>
              <w:ind w:right="75"/>
              <w:spacing w:after="0"/>
              <w:rPr>
                <w:sz w:val="20"/>
                <w:szCs w:val="20"/>
                <w:color w:val="auto"/>
              </w:rPr>
            </w:pPr>
            <w:r>
              <w:rPr>
                <w:rFonts w:ascii="Times New Roman" w:cs="Times New Roman" w:eastAsia="Times New Roman" w:hAnsi="Times New Roman"/>
                <w:sz w:val="20"/>
                <w:szCs w:val="20"/>
                <w:color w:val="1E1E1E"/>
                <w:w w:val="79"/>
              </w:rPr>
              <w:t>$</w:t>
            </w:r>
          </w:p>
        </w:tc>
        <w:tc>
          <w:tcPr>
            <w:tcW w:w="1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422.2</w:t>
            </w:r>
          </w:p>
        </w:tc>
        <w:tc>
          <w:tcPr>
            <w:tcW w:w="4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399.1</w:t>
            </w:r>
          </w:p>
        </w:tc>
        <w:tc>
          <w:tcPr>
            <w:tcW w:w="60" w:type="dxa"/>
            <w:vAlign w:val="bottom"/>
            <w:shd w:val="clear" w:color="auto" w:fill="E1E1E1"/>
          </w:tcPr>
          <w:p>
            <w:pPr>
              <w:spacing w:after="0"/>
              <w:rPr>
                <w:sz w:val="21"/>
                <w:szCs w:val="21"/>
                <w:color w:val="auto"/>
              </w:rPr>
            </w:pPr>
          </w:p>
        </w:tc>
      </w:tr>
      <w:tr>
        <w:trPr>
          <w:trHeight w:val="244"/>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1E1E1E"/>
              </w:rPr>
              <w:t>Accrued and other liabilities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339.6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243.3</w:t>
            </w:r>
          </w:p>
        </w:tc>
        <w:tc>
          <w:tcPr>
            <w:tcW w:w="60" w:type="dxa"/>
            <w:vAlign w:val="bottom"/>
          </w:tcPr>
          <w:p>
            <w:pPr>
              <w:spacing w:after="0"/>
              <w:rPr>
                <w:sz w:val="21"/>
                <w:szCs w:val="21"/>
                <w:color w:val="auto"/>
              </w:rPr>
            </w:pPr>
          </w:p>
        </w:tc>
      </w:tr>
      <w:tr>
        <w:trPr>
          <w:trHeight w:val="244"/>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Deferred income taxes</w:t>
            </w:r>
          </w:p>
        </w:tc>
        <w:tc>
          <w:tcPr>
            <w:tcW w:w="20" w:type="dxa"/>
            <w:vAlign w:val="bottom"/>
            <w:shd w:val="clear" w:color="auto" w:fill="E1E1E1"/>
          </w:tcPr>
          <w:p>
            <w:pPr>
              <w:spacing w:after="0"/>
              <w:rPr>
                <w:sz w:val="21"/>
                <w:szCs w:val="21"/>
                <w:color w:val="auto"/>
              </w:rPr>
            </w:pPr>
          </w:p>
        </w:tc>
        <w:tc>
          <w:tcPr>
            <w:tcW w:w="240" w:type="dxa"/>
            <w:vAlign w:val="bottom"/>
            <w:tcBorders>
              <w:bottom w:val="single" w:sz="8" w:color="1E1E1E"/>
            </w:tcBorders>
            <w:shd w:val="clear" w:color="auto" w:fill="E1E1E1"/>
          </w:tcPr>
          <w:p>
            <w:pPr>
              <w:spacing w:after="0"/>
              <w:rPr>
                <w:sz w:val="21"/>
                <w:szCs w:val="21"/>
                <w:color w:val="auto"/>
              </w:rPr>
            </w:pPr>
          </w:p>
        </w:tc>
        <w:tc>
          <w:tcPr>
            <w:tcW w:w="18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22.2</w:t>
            </w:r>
          </w:p>
        </w:tc>
        <w:tc>
          <w:tcPr>
            <w:tcW w:w="280" w:type="dxa"/>
            <w:vAlign w:val="bottom"/>
            <w:shd w:val="clear" w:color="auto" w:fill="E1E1E1"/>
          </w:tcPr>
          <w:p>
            <w:pPr>
              <w:spacing w:after="0"/>
              <w:rPr>
                <w:sz w:val="21"/>
                <w:szCs w:val="21"/>
                <w:color w:val="auto"/>
              </w:rPr>
            </w:pPr>
          </w:p>
        </w:tc>
        <w:tc>
          <w:tcPr>
            <w:tcW w:w="200" w:type="dxa"/>
            <w:vAlign w:val="bottom"/>
            <w:tcBorders>
              <w:bottom w:val="single" w:sz="8" w:color="1E1E1E"/>
            </w:tcBorders>
            <w:shd w:val="clear" w:color="auto" w:fill="E1E1E1"/>
          </w:tcPr>
          <w:p>
            <w:pPr>
              <w:spacing w:after="0"/>
              <w:rPr>
                <w:sz w:val="21"/>
                <w:szCs w:val="21"/>
                <w:color w:val="auto"/>
              </w:rPr>
            </w:pPr>
          </w:p>
        </w:tc>
        <w:tc>
          <w:tcPr>
            <w:tcW w:w="17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60" w:type="dxa"/>
            <w:vAlign w:val="bottom"/>
            <w:shd w:val="clear" w:color="auto" w:fill="E1E1E1"/>
          </w:tcPr>
          <w:p>
            <w:pPr>
              <w:spacing w:after="0"/>
              <w:rPr>
                <w:sz w:val="21"/>
                <w:szCs w:val="21"/>
                <w:color w:val="auto"/>
              </w:rPr>
            </w:pPr>
          </w:p>
        </w:tc>
      </w:tr>
      <w:tr>
        <w:trPr>
          <w:trHeight w:val="239"/>
        </w:trPr>
        <w:tc>
          <w:tcPr>
            <w:tcW w:w="6440" w:type="dxa"/>
            <w:vAlign w:val="bottom"/>
            <w:tcBorders>
              <w:bottom w:val="single" w:sz="8" w:color="E1E1E1"/>
            </w:tcBorders>
          </w:tcPr>
          <w:p>
            <w:pPr>
              <w:ind w:left="300"/>
              <w:spacing w:after="0"/>
              <w:rPr>
                <w:sz w:val="20"/>
                <w:szCs w:val="20"/>
                <w:color w:val="auto"/>
              </w:rPr>
            </w:pPr>
            <w:r>
              <w:rPr>
                <w:rFonts w:ascii="Times New Roman" w:cs="Times New Roman" w:eastAsia="Times New Roman" w:hAnsi="Times New Roman"/>
                <w:sz w:val="20"/>
                <w:szCs w:val="20"/>
                <w:color w:val="1E1E1E"/>
              </w:rPr>
              <w:t>Total current liabilities held for sale</w:t>
            </w:r>
          </w:p>
        </w:tc>
        <w:tc>
          <w:tcPr>
            <w:tcW w:w="20" w:type="dxa"/>
            <w:vAlign w:val="bottom"/>
            <w:tcBorders>
              <w:bottom w:val="single" w:sz="8" w:color="E1E1E1"/>
            </w:tcBorders>
          </w:tcPr>
          <w:p>
            <w:pPr>
              <w:spacing w:after="0"/>
              <w:rPr>
                <w:sz w:val="20"/>
                <w:szCs w:val="20"/>
                <w:color w:val="auto"/>
              </w:rPr>
            </w:pPr>
          </w:p>
        </w:tc>
        <w:tc>
          <w:tcPr>
            <w:tcW w:w="240" w:type="dxa"/>
            <w:vAlign w:val="bottom"/>
            <w:tcBorders>
              <w:bottom w:val="single" w:sz="8" w:color="1E1E1E"/>
            </w:tcBorders>
          </w:tcPr>
          <w:p>
            <w:pPr>
              <w:jc w:val="right"/>
              <w:ind w:right="75"/>
              <w:spacing w:after="0"/>
              <w:rPr>
                <w:sz w:val="20"/>
                <w:szCs w:val="20"/>
                <w:color w:val="auto"/>
              </w:rPr>
            </w:pPr>
            <w:r>
              <w:rPr>
                <w:rFonts w:ascii="Times New Roman" w:cs="Times New Roman" w:eastAsia="Times New Roman" w:hAnsi="Times New Roman"/>
                <w:sz w:val="17"/>
                <w:szCs w:val="17"/>
                <w:color w:val="1E1E1E"/>
                <w:w w:val="70"/>
              </w:rPr>
              <w:t>$</w:t>
            </w:r>
          </w:p>
        </w:tc>
        <w:tc>
          <w:tcPr>
            <w:tcW w:w="1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784.0</w:t>
            </w:r>
          </w:p>
        </w:tc>
        <w:tc>
          <w:tcPr>
            <w:tcW w:w="280" w:type="dxa"/>
            <w:vAlign w:val="bottom"/>
            <w:tcBorders>
              <w:bottom w:val="single" w:sz="8" w:color="E1E1E1"/>
            </w:tcBorders>
          </w:tcPr>
          <w:p>
            <w:pPr>
              <w:spacing w:after="0"/>
              <w:rPr>
                <w:sz w:val="20"/>
                <w:szCs w:val="20"/>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649.3</w:t>
            </w:r>
          </w:p>
        </w:tc>
        <w:tc>
          <w:tcPr>
            <w:tcW w:w="60" w:type="dxa"/>
            <w:vAlign w:val="bottom"/>
            <w:tcBorders>
              <w:bottom w:val="single" w:sz="8" w:color="E1E1E1"/>
            </w:tcBorders>
          </w:tcPr>
          <w:p>
            <w:pPr>
              <w:spacing w:after="0"/>
              <w:rPr>
                <w:sz w:val="20"/>
                <w:szCs w:val="20"/>
                <w:color w:val="auto"/>
              </w:rPr>
            </w:pPr>
          </w:p>
        </w:tc>
      </w:tr>
      <w:tr>
        <w:trPr>
          <w:trHeight w:val="239"/>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Deferred income taxes</w:t>
            </w:r>
          </w:p>
        </w:tc>
        <w:tc>
          <w:tcPr>
            <w:tcW w:w="2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18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8.5</w:t>
            </w:r>
          </w:p>
        </w:tc>
        <w:tc>
          <w:tcPr>
            <w:tcW w:w="60" w:type="dxa"/>
            <w:vAlign w:val="bottom"/>
            <w:shd w:val="clear" w:color="auto" w:fill="E1E1E1"/>
          </w:tcPr>
          <w:p>
            <w:pPr>
              <w:spacing w:after="0"/>
              <w:rPr>
                <w:sz w:val="20"/>
                <w:szCs w:val="20"/>
                <w:color w:val="auto"/>
              </w:rPr>
            </w:pPr>
          </w:p>
        </w:tc>
      </w:tr>
      <w:tr>
        <w:trPr>
          <w:trHeight w:val="244"/>
        </w:trPr>
        <w:tc>
          <w:tcPr>
            <w:tcW w:w="644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Other noncurrent liabilities</w:t>
            </w:r>
          </w:p>
        </w:tc>
        <w:tc>
          <w:tcPr>
            <w:tcW w:w="20" w:type="dxa"/>
            <w:vAlign w:val="bottom"/>
            <w:tcBorders>
              <w:bottom w:val="single" w:sz="8" w:color="E1E1E1"/>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1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Borders>
              <w:bottom w:val="single" w:sz="8" w:color="E1E1E1"/>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87.7</w:t>
            </w:r>
          </w:p>
        </w:tc>
        <w:tc>
          <w:tcPr>
            <w:tcW w:w="60" w:type="dxa"/>
            <w:vAlign w:val="bottom"/>
            <w:tcBorders>
              <w:bottom w:val="single" w:sz="8" w:color="E1E1E1"/>
            </w:tcBorders>
          </w:tcPr>
          <w:p>
            <w:pPr>
              <w:spacing w:after="0"/>
              <w:rPr>
                <w:sz w:val="21"/>
                <w:szCs w:val="21"/>
                <w:color w:val="auto"/>
              </w:rPr>
            </w:pPr>
          </w:p>
        </w:tc>
      </w:tr>
      <w:tr>
        <w:trPr>
          <w:trHeight w:val="239"/>
        </w:trPr>
        <w:tc>
          <w:tcPr>
            <w:tcW w:w="64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noncurrent liabilities</w:t>
            </w:r>
          </w:p>
        </w:tc>
        <w:tc>
          <w:tcPr>
            <w:tcW w:w="20" w:type="dxa"/>
            <w:vAlign w:val="bottom"/>
            <w:shd w:val="clear" w:color="auto" w:fill="E1E1E1"/>
          </w:tcPr>
          <w:p>
            <w:pPr>
              <w:spacing w:after="0"/>
              <w:rPr>
                <w:sz w:val="20"/>
                <w:szCs w:val="20"/>
                <w:color w:val="auto"/>
              </w:rPr>
            </w:pPr>
          </w:p>
        </w:tc>
        <w:tc>
          <w:tcPr>
            <w:tcW w:w="240" w:type="dxa"/>
            <w:vAlign w:val="bottom"/>
            <w:tcBorders>
              <w:bottom w:val="single" w:sz="8" w:color="1E1E1E"/>
            </w:tcBorders>
            <w:shd w:val="clear" w:color="auto" w:fill="E1E1E1"/>
          </w:tcPr>
          <w:p>
            <w:pPr>
              <w:spacing w:after="0"/>
              <w:rPr>
                <w:sz w:val="20"/>
                <w:szCs w:val="20"/>
                <w:color w:val="auto"/>
              </w:rPr>
            </w:pPr>
          </w:p>
        </w:tc>
        <w:tc>
          <w:tcPr>
            <w:tcW w:w="18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1E1E1"/>
          </w:tcPr>
          <w:p>
            <w:pPr>
              <w:spacing w:after="0"/>
              <w:rPr>
                <w:sz w:val="20"/>
                <w:szCs w:val="20"/>
                <w:color w:val="auto"/>
              </w:rPr>
            </w:pPr>
          </w:p>
        </w:tc>
        <w:tc>
          <w:tcPr>
            <w:tcW w:w="200" w:type="dxa"/>
            <w:vAlign w:val="bottom"/>
            <w:tcBorders>
              <w:bottom w:val="single" w:sz="8" w:color="1E1E1E"/>
            </w:tcBorders>
            <w:shd w:val="clear" w:color="auto" w:fill="E1E1E1"/>
          </w:tcPr>
          <w:p>
            <w:pPr>
              <w:spacing w:after="0"/>
              <w:rPr>
                <w:sz w:val="20"/>
                <w:szCs w:val="20"/>
                <w:color w:val="auto"/>
              </w:rPr>
            </w:pPr>
          </w:p>
        </w:tc>
        <w:tc>
          <w:tcPr>
            <w:tcW w:w="17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96.2</w:t>
            </w:r>
          </w:p>
        </w:tc>
        <w:tc>
          <w:tcPr>
            <w:tcW w:w="60" w:type="dxa"/>
            <w:vAlign w:val="bottom"/>
            <w:shd w:val="clear" w:color="auto" w:fill="E1E1E1"/>
          </w:tcPr>
          <w:p>
            <w:pPr>
              <w:spacing w:after="0"/>
              <w:rPr>
                <w:sz w:val="20"/>
                <w:szCs w:val="20"/>
                <w:color w:val="auto"/>
              </w:rPr>
            </w:pPr>
          </w:p>
        </w:tc>
      </w:tr>
      <w:tr>
        <w:trPr>
          <w:trHeight w:val="239"/>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Total liabilities held for sale</w:t>
            </w:r>
          </w:p>
        </w:tc>
        <w:tc>
          <w:tcPr>
            <w:tcW w:w="20" w:type="dxa"/>
            <w:vAlign w:val="bottom"/>
          </w:tcPr>
          <w:p>
            <w:pPr>
              <w:spacing w:after="0"/>
              <w:rPr>
                <w:sz w:val="20"/>
                <w:szCs w:val="20"/>
                <w:color w:val="auto"/>
              </w:rPr>
            </w:pPr>
          </w:p>
        </w:tc>
        <w:tc>
          <w:tcPr>
            <w:tcW w:w="240" w:type="dxa"/>
            <w:vAlign w:val="bottom"/>
            <w:tcBorders>
              <w:bottom w:val="single" w:sz="8" w:color="1E1E1E"/>
            </w:tcBorders>
          </w:tcPr>
          <w:p>
            <w:pPr>
              <w:jc w:val="right"/>
              <w:ind w:right="75"/>
              <w:spacing w:after="0"/>
              <w:rPr>
                <w:sz w:val="20"/>
                <w:szCs w:val="20"/>
                <w:color w:val="auto"/>
              </w:rPr>
            </w:pPr>
            <w:r>
              <w:rPr>
                <w:rFonts w:ascii="Times New Roman" w:cs="Times New Roman" w:eastAsia="Times New Roman" w:hAnsi="Times New Roman"/>
                <w:sz w:val="17"/>
                <w:szCs w:val="17"/>
                <w:color w:val="1E1E1E"/>
                <w:w w:val="70"/>
              </w:rPr>
              <w:t>$</w:t>
            </w:r>
          </w:p>
        </w:tc>
        <w:tc>
          <w:tcPr>
            <w:tcW w:w="1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784.0</w:t>
            </w:r>
          </w:p>
        </w:tc>
        <w:tc>
          <w:tcPr>
            <w:tcW w:w="280" w:type="dxa"/>
            <w:vAlign w:val="bottom"/>
          </w:tcPr>
          <w:p>
            <w:pPr>
              <w:spacing w:after="0"/>
              <w:rPr>
                <w:sz w:val="20"/>
                <w:szCs w:val="20"/>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745.5</w:t>
            </w:r>
          </w:p>
        </w:tc>
        <w:tc>
          <w:tcPr>
            <w:tcW w:w="6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84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7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20"/>
          <w:szCs w:val="20"/>
          <w:color w:val="1E1E1E"/>
        </w:rPr>
        <w:t>The following table presents the details of the gain (loss) on disposal of the OWN segment and DAS business unit, collectively, and the Home business: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OWN/DAS</w:t>
            </w:r>
          </w:p>
        </w:tc>
        <w:tc>
          <w:tcPr>
            <w:tcW w:w="34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1E1E1E"/>
              </w:rPr>
              <w:t>Home</w:t>
            </w:r>
          </w:p>
        </w:tc>
        <w:tc>
          <w:tcPr>
            <w:tcW w:w="80" w:type="dxa"/>
            <w:vAlign w:val="bottom"/>
          </w:tcPr>
          <w:p>
            <w:pPr>
              <w:spacing w:after="0"/>
              <w:rPr>
                <w:sz w:val="17"/>
                <w:szCs w:val="17"/>
                <w:color w:val="auto"/>
              </w:rPr>
            </w:pPr>
          </w:p>
        </w:tc>
      </w:tr>
      <w:tr>
        <w:trPr>
          <w:trHeight w:val="239"/>
        </w:trPr>
        <w:tc>
          <w:tcPr>
            <w:tcW w:w="6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1E1E1E"/>
              </w:rPr>
              <w:t>January 31, 2025</w:t>
            </w: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rPr>
              <w:t>January 9, 2024</w:t>
            </w:r>
          </w:p>
        </w:tc>
      </w:tr>
      <w:tr>
        <w:trPr>
          <w:trHeight w:val="239"/>
        </w:trPr>
        <w:tc>
          <w:tcPr>
            <w:tcW w:w="642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Cash consideration received (net of cash acquired)</w:t>
            </w:r>
          </w:p>
        </w:tc>
        <w:tc>
          <w:tcPr>
            <w:tcW w:w="920" w:type="dxa"/>
            <w:vAlign w:val="bottom"/>
            <w:tcBorders>
              <w:top w:val="single" w:sz="8" w:color="E1E1E1"/>
            </w:tcBorders>
            <w:shd w:val="clear" w:color="auto" w:fill="E1E1E1"/>
          </w:tcPr>
          <w:p>
            <w:pPr>
              <w:spacing w:after="0"/>
              <w:rPr>
                <w:sz w:val="20"/>
                <w:szCs w:val="20"/>
                <w:color w:val="auto"/>
              </w:rPr>
            </w:pPr>
          </w:p>
        </w:tc>
        <w:tc>
          <w:tcPr>
            <w:tcW w:w="1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2,034.5</w:t>
            </w:r>
          </w:p>
        </w:tc>
        <w:tc>
          <w:tcPr>
            <w:tcW w:w="340" w:type="dxa"/>
            <w:vAlign w:val="bottom"/>
            <w:tcBorders>
              <w:top w:val="single" w:sz="8" w:color="E1E1E1"/>
            </w:tcBorders>
            <w:shd w:val="clear" w:color="auto" w:fill="E1E1E1"/>
          </w:tcPr>
          <w:p>
            <w:pPr>
              <w:spacing w:after="0"/>
              <w:rPr>
                <w:sz w:val="20"/>
                <w:szCs w:val="20"/>
                <w:color w:val="auto"/>
              </w:rPr>
            </w:pPr>
          </w:p>
        </w:tc>
        <w:tc>
          <w:tcPr>
            <w:tcW w:w="1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top w:val="single" w:sz="8" w:color="E1E1E1"/>
            </w:tcBorders>
            <w:shd w:val="clear" w:color="auto" w:fill="E1E1E1"/>
          </w:tcPr>
          <w:p>
            <w:pPr>
              <w:spacing w:after="0"/>
              <w:rPr>
                <w:sz w:val="20"/>
                <w:szCs w:val="20"/>
                <w:color w:val="auto"/>
              </w:rPr>
            </w:pPr>
          </w:p>
        </w:tc>
      </w:tr>
      <w:tr>
        <w:trPr>
          <w:trHeight w:val="244"/>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1E1E1E"/>
              </w:rPr>
              <w:t>Transaction expense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1E1E1E"/>
              </w:rPr>
              <w:t>(9.1)</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1"/>
                <w:szCs w:val="21"/>
                <w:color w:val="auto"/>
              </w:rPr>
            </w:pPr>
          </w:p>
        </w:tc>
      </w:tr>
      <w:tr>
        <w:trPr>
          <w:trHeight w:val="244"/>
        </w:trPr>
        <w:tc>
          <w:tcPr>
            <w:tcW w:w="64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Fair value of shares issued to seller</w:t>
            </w:r>
          </w:p>
        </w:tc>
        <w:tc>
          <w:tcPr>
            <w:tcW w:w="92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1720" w:type="dxa"/>
            <w:vAlign w:val="bottom"/>
            <w:gridSpan w:val="2"/>
            <w:shd w:val="clear" w:color="auto" w:fill="E1E1E1"/>
          </w:tcPr>
          <w:p>
            <w:pPr>
              <w:jc w:val="right"/>
              <w:ind w:right="36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shd w:val="clear" w:color="auto" w:fill="E1E1E1"/>
          </w:tcPr>
          <w:p>
            <w:pPr>
              <w:spacing w:after="0"/>
              <w:rPr>
                <w:sz w:val="21"/>
                <w:szCs w:val="21"/>
                <w:color w:val="auto"/>
              </w:rPr>
            </w:pPr>
          </w:p>
        </w:tc>
        <w:tc>
          <w:tcPr>
            <w:tcW w:w="13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17.0</w:t>
            </w:r>
          </w:p>
        </w:tc>
        <w:tc>
          <w:tcPr>
            <w:tcW w:w="80" w:type="dxa"/>
            <w:vAlign w:val="bottom"/>
            <w:shd w:val="clear" w:color="auto" w:fill="E1E1E1"/>
          </w:tcPr>
          <w:p>
            <w:pPr>
              <w:spacing w:after="0"/>
              <w:rPr>
                <w:sz w:val="21"/>
                <w:szCs w:val="21"/>
                <w:color w:val="auto"/>
              </w:rPr>
            </w:pPr>
          </w:p>
        </w:tc>
      </w:tr>
      <w:tr>
        <w:trPr>
          <w:trHeight w:val="23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Total disposal consideration</w:t>
            </w:r>
          </w:p>
        </w:tc>
        <w:tc>
          <w:tcPr>
            <w:tcW w:w="920" w:type="dxa"/>
            <w:vAlign w:val="bottom"/>
          </w:tcPr>
          <w:p>
            <w:pPr>
              <w:spacing w:after="0"/>
              <w:rPr>
                <w:sz w:val="20"/>
                <w:szCs w:val="20"/>
                <w:color w:val="auto"/>
              </w:rPr>
            </w:pPr>
          </w:p>
        </w:tc>
        <w:tc>
          <w:tcPr>
            <w:tcW w:w="140" w:type="dxa"/>
            <w:vAlign w:val="bottom"/>
            <w:tcBorders>
              <w:top w:val="single" w:sz="8" w:color="1E1E1E"/>
            </w:tcBorders>
          </w:tcPr>
          <w:p>
            <w:pPr>
              <w:spacing w:after="0"/>
              <w:rPr>
                <w:sz w:val="20"/>
                <w:szCs w:val="20"/>
                <w:color w:val="auto"/>
              </w:rPr>
            </w:pPr>
          </w:p>
        </w:tc>
        <w:tc>
          <w:tcPr>
            <w:tcW w:w="13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2,025.4</w:t>
            </w:r>
          </w:p>
        </w:tc>
        <w:tc>
          <w:tcPr>
            <w:tcW w:w="340" w:type="dxa"/>
            <w:vAlign w:val="bottom"/>
          </w:tcPr>
          <w:p>
            <w:pPr>
              <w:spacing w:after="0"/>
              <w:rPr>
                <w:sz w:val="20"/>
                <w:szCs w:val="20"/>
                <w:color w:val="auto"/>
              </w:rPr>
            </w:pPr>
          </w:p>
        </w:tc>
        <w:tc>
          <w:tcPr>
            <w:tcW w:w="140" w:type="dxa"/>
            <w:vAlign w:val="bottom"/>
            <w:tcBorders>
              <w:top w:val="single" w:sz="8" w:color="1E1E1E"/>
            </w:tcBorders>
          </w:tcPr>
          <w:p>
            <w:pPr>
              <w:spacing w:after="0"/>
              <w:rPr>
                <w:sz w:val="20"/>
                <w:szCs w:val="20"/>
                <w:color w:val="auto"/>
              </w:rPr>
            </w:pPr>
          </w:p>
        </w:tc>
        <w:tc>
          <w:tcPr>
            <w:tcW w:w="13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17.0</w:t>
            </w:r>
          </w:p>
        </w:tc>
        <w:tc>
          <w:tcPr>
            <w:tcW w:w="80" w:type="dxa"/>
            <w:vAlign w:val="bottom"/>
          </w:tcPr>
          <w:p>
            <w:pPr>
              <w:spacing w:after="0"/>
              <w:rPr>
                <w:sz w:val="20"/>
                <w:szCs w:val="20"/>
                <w:color w:val="auto"/>
              </w:rPr>
            </w:pPr>
          </w:p>
        </w:tc>
      </w:tr>
      <w:tr>
        <w:trPr>
          <w:trHeight w:val="244"/>
        </w:trPr>
        <w:tc>
          <w:tcPr>
            <w:tcW w:w="64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Carrying value of net assets sold</w:t>
            </w:r>
          </w:p>
        </w:tc>
        <w:tc>
          <w:tcPr>
            <w:tcW w:w="92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1720" w:type="dxa"/>
            <w:vAlign w:val="bottom"/>
            <w:gridSpan w:val="2"/>
            <w:shd w:val="clear" w:color="auto" w:fill="E1E1E1"/>
          </w:tcPr>
          <w:p>
            <w:pPr>
              <w:jc w:val="right"/>
              <w:ind w:right="280"/>
              <w:spacing w:after="0"/>
              <w:rPr>
                <w:sz w:val="20"/>
                <w:szCs w:val="20"/>
                <w:color w:val="auto"/>
              </w:rPr>
            </w:pPr>
            <w:r>
              <w:rPr>
                <w:rFonts w:ascii="Times New Roman" w:cs="Times New Roman" w:eastAsia="Times New Roman" w:hAnsi="Times New Roman"/>
                <w:sz w:val="20"/>
                <w:szCs w:val="20"/>
                <w:color w:val="1E1E1E"/>
              </w:rPr>
              <w:t>(1,058.5)</w:t>
            </w:r>
          </w:p>
        </w:tc>
        <w:tc>
          <w:tcPr>
            <w:tcW w:w="140" w:type="dxa"/>
            <w:vAlign w:val="bottom"/>
            <w:shd w:val="clear" w:color="auto" w:fill="E1E1E1"/>
          </w:tcPr>
          <w:p>
            <w:pPr>
              <w:spacing w:after="0"/>
              <w:rPr>
                <w:sz w:val="21"/>
                <w:szCs w:val="21"/>
                <w:color w:val="auto"/>
              </w:rPr>
            </w:pPr>
          </w:p>
        </w:tc>
        <w:tc>
          <w:tcPr>
            <w:tcW w:w="14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(17.5)</w:t>
            </w:r>
          </w:p>
        </w:tc>
      </w:tr>
      <w:tr>
        <w:trPr>
          <w:trHeight w:val="218"/>
        </w:trPr>
        <w:tc>
          <w:tcPr>
            <w:tcW w:w="6420" w:type="dxa"/>
            <w:vAlign w:val="bottom"/>
          </w:tcPr>
          <w:p>
            <w:pPr>
              <w:ind w:left="200"/>
              <w:spacing w:after="0" w:line="218" w:lineRule="exact"/>
              <w:rPr>
                <w:sz w:val="20"/>
                <w:szCs w:val="20"/>
                <w:color w:val="auto"/>
              </w:rPr>
            </w:pPr>
            <w:r>
              <w:rPr>
                <w:rFonts w:ascii="Times New Roman" w:cs="Times New Roman" w:eastAsia="Times New Roman" w:hAnsi="Times New Roman"/>
                <w:sz w:val="20"/>
                <w:szCs w:val="20"/>
                <w:color w:val="1E1E1E"/>
              </w:rPr>
              <w:t>Gain (loss) on disposal before income taxes and reclassification of</w:t>
            </w:r>
          </w:p>
        </w:tc>
        <w:tc>
          <w:tcPr>
            <w:tcW w:w="920" w:type="dxa"/>
            <w:vAlign w:val="bottom"/>
          </w:tcPr>
          <w:p>
            <w:pPr>
              <w:spacing w:after="0"/>
              <w:rPr>
                <w:sz w:val="18"/>
                <w:szCs w:val="18"/>
                <w:color w:val="auto"/>
              </w:rPr>
            </w:pPr>
          </w:p>
        </w:tc>
        <w:tc>
          <w:tcPr>
            <w:tcW w:w="140" w:type="dxa"/>
            <w:vAlign w:val="bottom"/>
            <w:tcBorders>
              <w:top w:val="single" w:sz="8" w:color="1E1E1E"/>
            </w:tcBorders>
          </w:tcPr>
          <w:p>
            <w:pPr>
              <w:spacing w:after="0"/>
              <w:rPr>
                <w:sz w:val="18"/>
                <w:szCs w:val="18"/>
                <w:color w:val="auto"/>
              </w:rPr>
            </w:pPr>
          </w:p>
        </w:tc>
        <w:tc>
          <w:tcPr>
            <w:tcW w:w="1380" w:type="dxa"/>
            <w:vAlign w:val="bottom"/>
            <w:tcBorders>
              <w:top w:val="single" w:sz="8" w:color="1E1E1E"/>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1E1E1E"/>
            </w:tcBorders>
          </w:tcPr>
          <w:p>
            <w:pPr>
              <w:spacing w:after="0"/>
              <w:rPr>
                <w:sz w:val="18"/>
                <w:szCs w:val="18"/>
                <w:color w:val="auto"/>
              </w:rPr>
            </w:pPr>
          </w:p>
        </w:tc>
        <w:tc>
          <w:tcPr>
            <w:tcW w:w="1380" w:type="dxa"/>
            <w:vAlign w:val="bottom"/>
            <w:tcBorders>
              <w:top w:val="single" w:sz="8" w:color="1E1E1E"/>
            </w:tcBorders>
          </w:tcPr>
          <w:p>
            <w:pPr>
              <w:spacing w:after="0"/>
              <w:rPr>
                <w:sz w:val="18"/>
                <w:szCs w:val="18"/>
                <w:color w:val="auto"/>
              </w:rPr>
            </w:pPr>
          </w:p>
        </w:tc>
        <w:tc>
          <w:tcPr>
            <w:tcW w:w="80" w:type="dxa"/>
            <w:vAlign w:val="bottom"/>
          </w:tcPr>
          <w:p>
            <w:pPr>
              <w:spacing w:after="0"/>
              <w:rPr>
                <w:sz w:val="18"/>
                <w:szCs w:val="18"/>
                <w:color w:val="auto"/>
              </w:rPr>
            </w:pPr>
          </w:p>
        </w:tc>
      </w:tr>
      <w:tr>
        <w:trPr>
          <w:trHeight w:val="251"/>
        </w:trPr>
        <w:tc>
          <w:tcPr>
            <w:tcW w:w="642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foreign currency translation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966.9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(0.5)</w:t>
            </w:r>
          </w:p>
        </w:tc>
      </w:tr>
      <w:tr>
        <w:trPr>
          <w:trHeight w:val="244"/>
        </w:trPr>
        <w:tc>
          <w:tcPr>
            <w:tcW w:w="64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Reclassification of foreign currency translation</w:t>
            </w:r>
          </w:p>
        </w:tc>
        <w:tc>
          <w:tcPr>
            <w:tcW w:w="92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1720" w:type="dxa"/>
            <w:vAlign w:val="bottom"/>
            <w:gridSpan w:val="2"/>
            <w:shd w:val="clear" w:color="auto" w:fill="E1E1E1"/>
          </w:tcPr>
          <w:p>
            <w:pPr>
              <w:jc w:val="right"/>
              <w:ind w:right="280"/>
              <w:spacing w:after="0"/>
              <w:rPr>
                <w:sz w:val="20"/>
                <w:szCs w:val="20"/>
                <w:color w:val="auto"/>
              </w:rPr>
            </w:pPr>
            <w:r>
              <w:rPr>
                <w:rFonts w:ascii="Times New Roman" w:cs="Times New Roman" w:eastAsia="Times New Roman" w:hAnsi="Times New Roman"/>
                <w:sz w:val="20"/>
                <w:szCs w:val="20"/>
                <w:color w:val="1E1E1E"/>
              </w:rPr>
              <w:t>(97.9)</w:t>
            </w:r>
          </w:p>
        </w:tc>
        <w:tc>
          <w:tcPr>
            <w:tcW w:w="140" w:type="dxa"/>
            <w:vAlign w:val="bottom"/>
            <w:shd w:val="clear" w:color="auto" w:fill="E1E1E1"/>
          </w:tcPr>
          <w:p>
            <w:pPr>
              <w:spacing w:after="0"/>
              <w:rPr>
                <w:sz w:val="21"/>
                <w:szCs w:val="21"/>
                <w:color w:val="auto"/>
              </w:rPr>
            </w:pPr>
          </w:p>
        </w:tc>
        <w:tc>
          <w:tcPr>
            <w:tcW w:w="14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(27.4)</w:t>
            </w:r>
          </w:p>
        </w:tc>
      </w:tr>
      <w:tr>
        <w:trPr>
          <w:trHeight w:val="23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Gain (loss) on disposal before income taxes</w:t>
            </w:r>
          </w:p>
        </w:tc>
        <w:tc>
          <w:tcPr>
            <w:tcW w:w="920" w:type="dxa"/>
            <w:vAlign w:val="bottom"/>
          </w:tcPr>
          <w:p>
            <w:pPr>
              <w:spacing w:after="0"/>
              <w:rPr>
                <w:sz w:val="20"/>
                <w:szCs w:val="20"/>
                <w:color w:val="auto"/>
              </w:rPr>
            </w:pPr>
          </w:p>
        </w:tc>
        <w:tc>
          <w:tcPr>
            <w:tcW w:w="140" w:type="dxa"/>
            <w:vAlign w:val="bottom"/>
            <w:tcBorders>
              <w:top w:val="single" w:sz="8" w:color="1E1E1E"/>
            </w:tcBorders>
          </w:tcPr>
          <w:p>
            <w:pPr>
              <w:spacing w:after="0"/>
              <w:rPr>
                <w:sz w:val="20"/>
                <w:szCs w:val="20"/>
                <w:color w:val="auto"/>
              </w:rPr>
            </w:pPr>
          </w:p>
        </w:tc>
        <w:tc>
          <w:tcPr>
            <w:tcW w:w="13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869.0</w:t>
            </w:r>
          </w:p>
        </w:tc>
        <w:tc>
          <w:tcPr>
            <w:tcW w:w="340" w:type="dxa"/>
            <w:vAlign w:val="bottom"/>
          </w:tcPr>
          <w:p>
            <w:pPr>
              <w:spacing w:after="0"/>
              <w:rPr>
                <w:sz w:val="20"/>
                <w:szCs w:val="20"/>
                <w:color w:val="auto"/>
              </w:rPr>
            </w:pPr>
          </w:p>
        </w:tc>
        <w:tc>
          <w:tcPr>
            <w:tcW w:w="140" w:type="dxa"/>
            <w:vAlign w:val="bottom"/>
            <w:tcBorders>
              <w:top w:val="single" w:sz="8" w:color="1E1E1E"/>
            </w:tcBorders>
          </w:tcPr>
          <w:p>
            <w:pPr>
              <w:spacing w:after="0"/>
              <w:rPr>
                <w:sz w:val="20"/>
                <w:szCs w:val="20"/>
                <w:color w:val="auto"/>
              </w:rPr>
            </w:pPr>
          </w:p>
        </w:tc>
        <w:tc>
          <w:tcPr>
            <w:tcW w:w="13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(27.9)</w:t>
            </w:r>
          </w:p>
        </w:tc>
        <w:tc>
          <w:tcPr>
            <w:tcW w:w="80" w:type="dxa"/>
            <w:vAlign w:val="bottom"/>
          </w:tcPr>
          <w:p>
            <w:pPr>
              <w:spacing w:after="0"/>
              <w:rPr>
                <w:sz w:val="20"/>
                <w:szCs w:val="20"/>
                <w:color w:val="auto"/>
              </w:rPr>
            </w:pPr>
          </w:p>
        </w:tc>
      </w:tr>
      <w:tr>
        <w:trPr>
          <w:trHeight w:val="244"/>
        </w:trPr>
        <w:tc>
          <w:tcPr>
            <w:tcW w:w="64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Income tax expense</w:t>
            </w:r>
          </w:p>
        </w:tc>
        <w:tc>
          <w:tcPr>
            <w:tcW w:w="92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1720" w:type="dxa"/>
            <w:vAlign w:val="bottom"/>
            <w:gridSpan w:val="2"/>
            <w:shd w:val="clear" w:color="auto" w:fill="E1E1E1"/>
          </w:tcPr>
          <w:p>
            <w:pPr>
              <w:jc w:val="right"/>
              <w:ind w:right="280"/>
              <w:spacing w:after="0"/>
              <w:rPr>
                <w:sz w:val="20"/>
                <w:szCs w:val="20"/>
                <w:color w:val="auto"/>
              </w:rPr>
            </w:pPr>
            <w:r>
              <w:rPr>
                <w:rFonts w:ascii="Times New Roman" w:cs="Times New Roman" w:eastAsia="Times New Roman" w:hAnsi="Times New Roman"/>
                <w:sz w:val="20"/>
                <w:szCs w:val="20"/>
                <w:color w:val="1E1E1E"/>
              </w:rPr>
              <w:t>(370.8)</w:t>
            </w:r>
          </w:p>
        </w:tc>
        <w:tc>
          <w:tcPr>
            <w:tcW w:w="140" w:type="dxa"/>
            <w:vAlign w:val="bottom"/>
            <w:shd w:val="clear" w:color="auto" w:fill="E1E1E1"/>
          </w:tcPr>
          <w:p>
            <w:pPr>
              <w:spacing w:after="0"/>
              <w:rPr>
                <w:sz w:val="21"/>
                <w:szCs w:val="21"/>
                <w:color w:val="auto"/>
              </w:rPr>
            </w:pPr>
          </w:p>
        </w:tc>
        <w:tc>
          <w:tcPr>
            <w:tcW w:w="14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(28.5)</w:t>
            </w:r>
          </w:p>
        </w:tc>
      </w:tr>
      <w:tr>
        <w:trPr>
          <w:trHeight w:val="23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Gain (loss) on disposal, net of income taxes</w:t>
            </w:r>
          </w:p>
        </w:tc>
        <w:tc>
          <w:tcPr>
            <w:tcW w:w="920" w:type="dxa"/>
            <w:vAlign w:val="bottom"/>
          </w:tcPr>
          <w:p>
            <w:pPr>
              <w:spacing w:after="0"/>
              <w:rPr>
                <w:sz w:val="20"/>
                <w:szCs w:val="20"/>
                <w:color w:val="auto"/>
              </w:rPr>
            </w:pPr>
          </w:p>
        </w:tc>
        <w:tc>
          <w:tcPr>
            <w:tcW w:w="1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498.2</w:t>
            </w:r>
          </w:p>
        </w:tc>
        <w:tc>
          <w:tcPr>
            <w:tcW w:w="340" w:type="dxa"/>
            <w:vAlign w:val="bottom"/>
          </w:tcPr>
          <w:p>
            <w:pPr>
              <w:spacing w:after="0"/>
              <w:rPr>
                <w:sz w:val="20"/>
                <w:szCs w:val="20"/>
                <w:color w:val="auto"/>
              </w:rPr>
            </w:pPr>
          </w:p>
        </w:tc>
        <w:tc>
          <w:tcPr>
            <w:tcW w:w="1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(56.4)</w:t>
            </w:r>
          </w:p>
        </w:tc>
        <w:tc>
          <w:tcPr>
            <w:tcW w:w="80" w:type="dxa"/>
            <w:vAlign w:val="bottom"/>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380" w:type="dxa"/>
            <w:vAlign w:val="bottom"/>
            <w:tcBorders>
              <w:bottom w:val="single" w:sz="8" w:color="1E1E1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3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78</w:t>
      </w:r>
    </w:p>
    <w:p>
      <w:pPr>
        <w:sectPr>
          <w:pgSz w:w="11880" w:h="15480" w:orient="portrait"/>
          <w:cols w:equalWidth="0" w:num="1">
            <w:col w:w="10800"/>
          </w:cols>
          <w:pgMar w:left="540" w:top="515" w:right="540" w:bottom="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The cash flows related to discontinued operations have not been segregated on the Consolidated Statements of Cash Flows, and accordingly, they include the results from continuing and discontinued operations. The following table summarizes the Company’s cash inflows related to the ongoing activities of the discontinued operations, including the Vantiva and Amphenol TSAs, as described below, and inventory sales resulting from the Vantiva Supply Agreement and Amphenol MSA, as described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40" w:type="dxa"/>
            <w:vAlign w:val="bottom"/>
          </w:tcPr>
          <w:p>
            <w:pPr>
              <w:spacing w:after="0"/>
              <w:rPr>
                <w:sz w:val="17"/>
                <w:szCs w:val="17"/>
                <w:color w:val="auto"/>
              </w:rPr>
            </w:pPr>
          </w:p>
        </w:tc>
        <w:tc>
          <w:tcPr>
            <w:tcW w:w="290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7340" w:type="dxa"/>
            <w:vAlign w:val="bottom"/>
          </w:tcPr>
          <w:p>
            <w:pPr>
              <w:spacing w:after="0"/>
              <w:rPr>
                <w:sz w:val="20"/>
                <w:szCs w:val="20"/>
                <w:color w:val="auto"/>
              </w:rPr>
            </w:pPr>
          </w:p>
        </w:tc>
        <w:tc>
          <w:tcPr>
            <w:tcW w:w="1060" w:type="dxa"/>
            <w:vAlign w:val="bottom"/>
            <w:tcBorders>
              <w:top w:val="single" w:sz="8" w:color="1E1E1E"/>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80" w:type="dxa"/>
            <w:vAlign w:val="bottom"/>
            <w:tcBorders>
              <w:top w:val="single" w:sz="8" w:color="1E1E1E"/>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00" w:type="dxa"/>
            <w:vAlign w:val="bottom"/>
            <w:tcBorders>
              <w:top w:val="single" w:sz="8" w:color="1E1E1E"/>
            </w:tcBorders>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34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Vantiva TSA fees</w:t>
            </w:r>
          </w:p>
        </w:tc>
        <w:tc>
          <w:tcPr>
            <w:tcW w:w="1060" w:type="dxa"/>
            <w:vAlign w:val="bottom"/>
            <w:tcBorders>
              <w:top w:val="single" w:sz="8" w:color="1E1E1E"/>
            </w:tcBorders>
            <w:shd w:val="clear" w:color="auto" w:fill="E1E1E1"/>
          </w:tcPr>
          <w:p>
            <w:pPr>
              <w:jc w:val="right"/>
              <w:ind w:right="873"/>
              <w:spacing w:after="0"/>
              <w:rPr>
                <w:sz w:val="20"/>
                <w:szCs w:val="20"/>
                <w:color w:val="auto"/>
              </w:rPr>
            </w:pPr>
            <w:r>
              <w:rPr>
                <w:rFonts w:ascii="Times New Roman" w:cs="Times New Roman" w:eastAsia="Times New Roman" w:hAnsi="Times New Roman"/>
                <w:sz w:val="20"/>
                <w:szCs w:val="20"/>
                <w:color w:val="1E1E1E"/>
                <w:w w:val="79"/>
              </w:rPr>
              <w:t>$</w:t>
            </w:r>
          </w:p>
        </w:tc>
        <w:tc>
          <w:tcPr>
            <w:tcW w:w="48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4.0</w:t>
            </w:r>
          </w:p>
        </w:tc>
        <w:tc>
          <w:tcPr>
            <w:tcW w:w="12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E1E1E1"/>
            </w:tcBorders>
            <w:shd w:val="clear" w:color="auto" w:fill="E1E1E1"/>
          </w:tcPr>
          <w:p>
            <w:pPr>
              <w:spacing w:after="0"/>
              <w:rPr>
                <w:sz w:val="20"/>
                <w:szCs w:val="20"/>
                <w:color w:val="auto"/>
              </w:rPr>
            </w:pPr>
          </w:p>
        </w:tc>
        <w:tc>
          <w:tcPr>
            <w:tcW w:w="1040" w:type="dxa"/>
            <w:vAlign w:val="bottom"/>
            <w:tcBorders>
              <w:top w:val="single" w:sz="8" w:color="1E1E1E"/>
            </w:tcBorders>
            <w:shd w:val="clear" w:color="auto" w:fill="E1E1E1"/>
          </w:tcPr>
          <w:p>
            <w:pPr>
              <w:jc w:val="right"/>
              <w:ind w:right="840"/>
              <w:spacing w:after="0"/>
              <w:rPr>
                <w:sz w:val="20"/>
                <w:szCs w:val="20"/>
                <w:color w:val="auto"/>
              </w:rPr>
            </w:pPr>
            <w:r>
              <w:rPr>
                <w:rFonts w:ascii="Times New Roman" w:cs="Times New Roman" w:eastAsia="Times New Roman" w:hAnsi="Times New Roman"/>
                <w:sz w:val="20"/>
                <w:szCs w:val="20"/>
                <w:color w:val="1E1E1E"/>
                <w:w w:val="79"/>
              </w:rPr>
              <w:t>$</w:t>
            </w:r>
          </w:p>
        </w:tc>
        <w:tc>
          <w:tcPr>
            <w:tcW w:w="5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22.6</w:t>
            </w:r>
          </w:p>
        </w:tc>
        <w:tc>
          <w:tcPr>
            <w:tcW w:w="60" w:type="dxa"/>
            <w:vAlign w:val="bottom"/>
            <w:tcBorders>
              <w:top w:val="single" w:sz="8" w:color="E1E1E1"/>
            </w:tcBorders>
            <w:shd w:val="clear" w:color="auto" w:fill="E1E1E1"/>
          </w:tcPr>
          <w:p>
            <w:pPr>
              <w:spacing w:after="0"/>
              <w:rPr>
                <w:sz w:val="20"/>
                <w:szCs w:val="20"/>
                <w:color w:val="auto"/>
              </w:rPr>
            </w:pPr>
          </w:p>
        </w:tc>
      </w:tr>
      <w:tr>
        <w:trPr>
          <w:trHeight w:val="24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1E1E1E"/>
              </w:rPr>
              <w:t>Vantiva Supply Agreement and other inventory sales</w:t>
            </w: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46.3</w:t>
            </w:r>
          </w:p>
        </w:tc>
        <w:tc>
          <w:tcPr>
            <w:tcW w:w="60" w:type="dxa"/>
            <w:vAlign w:val="bottom"/>
          </w:tcPr>
          <w:p>
            <w:pPr>
              <w:spacing w:after="0"/>
              <w:rPr>
                <w:sz w:val="21"/>
                <w:szCs w:val="21"/>
                <w:color w:val="auto"/>
              </w:rPr>
            </w:pPr>
          </w:p>
        </w:tc>
      </w:tr>
      <w:tr>
        <w:trPr>
          <w:trHeight w:val="244"/>
        </w:trPr>
        <w:tc>
          <w:tcPr>
            <w:tcW w:w="73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Amphenol TSA fees</w:t>
            </w:r>
          </w:p>
        </w:tc>
        <w:tc>
          <w:tcPr>
            <w:tcW w:w="1060" w:type="dxa"/>
            <w:vAlign w:val="bottom"/>
            <w:shd w:val="clear" w:color="auto" w:fill="E1E1E1"/>
          </w:tcPr>
          <w:p>
            <w:pPr>
              <w:spacing w:after="0"/>
              <w:rPr>
                <w:sz w:val="21"/>
                <w:szCs w:val="21"/>
                <w:color w:val="auto"/>
              </w:rPr>
            </w:pPr>
          </w:p>
        </w:tc>
        <w:tc>
          <w:tcPr>
            <w:tcW w:w="4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33.1</w:t>
            </w:r>
          </w:p>
        </w:tc>
        <w:tc>
          <w:tcPr>
            <w:tcW w:w="12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1E1E1"/>
          </w:tcPr>
          <w:p>
            <w:pPr>
              <w:spacing w:after="0"/>
              <w:rPr>
                <w:sz w:val="21"/>
                <w:szCs w:val="21"/>
                <w:color w:val="auto"/>
              </w:rPr>
            </w:pPr>
          </w:p>
        </w:tc>
      </w:tr>
      <w:tr>
        <w:trPr>
          <w:trHeight w:val="268"/>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1E1E1E"/>
              </w:rPr>
              <w:t>Amphenol MSA inventory sales</w:t>
            </w:r>
          </w:p>
        </w:tc>
        <w:tc>
          <w:tcPr>
            <w:tcW w:w="10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3"/>
                <w:szCs w:val="23"/>
                <w:color w:val="auto"/>
              </w:rPr>
            </w:pPr>
          </w:p>
        </w:tc>
      </w:tr>
    </w:tbl>
    <w:p>
      <w:pPr>
        <w:spacing w:after="0" w:line="19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1E1E1E"/>
        </w:rPr>
        <w:t>The following table summarizes significant non-cash operating items and certain other items of the discontinued operations included on the Consolidated Statements of Cash Flows: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1020" w:type="dxa"/>
            <w:vAlign w:val="bottom"/>
            <w:tcBorders>
              <w:bottom w:val="single" w:sz="8" w:color="1E1E1E"/>
            </w:tcBorders>
          </w:tcPr>
          <w:p>
            <w:pPr>
              <w:spacing w:after="0"/>
              <w:rPr>
                <w:sz w:val="17"/>
                <w:szCs w:val="17"/>
                <w:color w:val="auto"/>
              </w:rPr>
            </w:pPr>
          </w:p>
        </w:tc>
        <w:tc>
          <w:tcPr>
            <w:tcW w:w="1840" w:type="dxa"/>
            <w:vAlign w:val="bottom"/>
            <w:tcBorders>
              <w:bottom w:val="single" w:sz="8" w:color="1E1E1E"/>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28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6280" w:type="dxa"/>
            <w:vAlign w:val="bottom"/>
            <w:tcBorders>
              <w:bottom w:val="single" w:sz="8" w:color="E1E1E1"/>
            </w:tcBorders>
          </w:tcPr>
          <w:p>
            <w:pPr>
              <w:spacing w:after="0"/>
              <w:rPr>
                <w:sz w:val="20"/>
                <w:szCs w:val="20"/>
                <w:color w:val="auto"/>
              </w:rPr>
            </w:pPr>
          </w:p>
        </w:tc>
        <w:tc>
          <w:tcPr>
            <w:tcW w:w="280" w:type="dxa"/>
            <w:vAlign w:val="bottom"/>
            <w:tcBorders>
              <w:bottom w:val="single" w:sz="8" w:color="1E1E1E"/>
            </w:tcBorders>
          </w:tcPr>
          <w:p>
            <w:pPr>
              <w:spacing w:after="0"/>
              <w:rPr>
                <w:sz w:val="20"/>
                <w:szCs w:val="20"/>
                <w:color w:val="auto"/>
              </w:rPr>
            </w:pPr>
          </w:p>
        </w:tc>
        <w:tc>
          <w:tcPr>
            <w:tcW w:w="1020" w:type="dxa"/>
            <w:vAlign w:val="bottom"/>
            <w:tcBorders>
              <w:bottom w:val="single" w:sz="8" w:color="1E1E1E"/>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80" w:type="dxa"/>
            <w:vAlign w:val="bottom"/>
            <w:tcBorders>
              <w:bottom w:val="single" w:sz="8" w:color="E1E1E1"/>
            </w:tcBorders>
          </w:tcPr>
          <w:p>
            <w:pPr>
              <w:spacing w:after="0"/>
              <w:rPr>
                <w:sz w:val="20"/>
                <w:szCs w:val="20"/>
                <w:color w:val="auto"/>
              </w:rPr>
            </w:pPr>
          </w:p>
        </w:tc>
        <w:tc>
          <w:tcPr>
            <w:tcW w:w="300" w:type="dxa"/>
            <w:vAlign w:val="bottom"/>
            <w:tcBorders>
              <w:bottom w:val="single" w:sz="8" w:color="1E1E1E"/>
            </w:tcBorders>
          </w:tcPr>
          <w:p>
            <w:pPr>
              <w:spacing w:after="0"/>
              <w:rPr>
                <w:sz w:val="20"/>
                <w:szCs w:val="20"/>
                <w:color w:val="auto"/>
              </w:rPr>
            </w:pPr>
          </w:p>
        </w:tc>
        <w:tc>
          <w:tcPr>
            <w:tcW w:w="1020" w:type="dxa"/>
            <w:vAlign w:val="bottom"/>
            <w:tcBorders>
              <w:bottom w:val="single" w:sz="8" w:color="1E1E1E"/>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40" w:type="dxa"/>
            <w:vAlign w:val="bottom"/>
            <w:tcBorders>
              <w:bottom w:val="single" w:sz="8" w:color="E1E1E1"/>
            </w:tcBorders>
          </w:tcPr>
          <w:p>
            <w:pPr>
              <w:spacing w:after="0"/>
              <w:rPr>
                <w:sz w:val="20"/>
                <w:szCs w:val="20"/>
                <w:color w:val="auto"/>
              </w:rPr>
            </w:pPr>
          </w:p>
        </w:tc>
        <w:tc>
          <w:tcPr>
            <w:tcW w:w="280" w:type="dxa"/>
            <w:vAlign w:val="bottom"/>
            <w:tcBorders>
              <w:bottom w:val="single" w:sz="8" w:color="1E1E1E"/>
            </w:tcBorders>
          </w:tcPr>
          <w:p>
            <w:pPr>
              <w:spacing w:after="0"/>
              <w:rPr>
                <w:sz w:val="20"/>
                <w:szCs w:val="20"/>
                <w:color w:val="auto"/>
              </w:rPr>
            </w:pPr>
          </w:p>
        </w:tc>
        <w:tc>
          <w:tcPr>
            <w:tcW w:w="1040" w:type="dxa"/>
            <w:vAlign w:val="bottom"/>
            <w:tcBorders>
              <w:bottom w:val="single" w:sz="8" w:color="1E1E1E"/>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60" w:type="dxa"/>
            <w:vAlign w:val="bottom"/>
            <w:tcBorders>
              <w:bottom w:val="single" w:sz="8" w:color="E1E1E1"/>
            </w:tcBorders>
          </w:tcPr>
          <w:p>
            <w:pPr>
              <w:spacing w:after="0"/>
              <w:rPr>
                <w:sz w:val="20"/>
                <w:szCs w:val="20"/>
                <w:color w:val="auto"/>
              </w:rPr>
            </w:pPr>
          </w:p>
        </w:tc>
      </w:tr>
      <w:tr>
        <w:trPr>
          <w:trHeight w:val="239"/>
        </w:trPr>
        <w:tc>
          <w:tcPr>
            <w:tcW w:w="628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(Gain) loss on disposal of discontinued operations</w:t>
            </w: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gridSpan w:val="2"/>
            <w:shd w:val="clear" w:color="auto" w:fill="E1E1E1"/>
          </w:tcPr>
          <w:p>
            <w:pPr>
              <w:jc w:val="right"/>
              <w:ind w:right="140"/>
              <w:spacing w:after="0"/>
              <w:rPr>
                <w:sz w:val="20"/>
                <w:szCs w:val="20"/>
                <w:color w:val="auto"/>
              </w:rPr>
            </w:pPr>
            <w:r>
              <w:rPr>
                <w:rFonts w:ascii="Times New Roman" w:cs="Times New Roman" w:eastAsia="Times New Roman" w:hAnsi="Times New Roman"/>
                <w:sz w:val="20"/>
                <w:szCs w:val="20"/>
                <w:color w:val="1E1E1E"/>
              </w:rPr>
              <w:t>(869.0)</w:t>
            </w:r>
          </w:p>
        </w:tc>
        <w:tc>
          <w:tcPr>
            <w:tcW w:w="300" w:type="dxa"/>
            <w:vAlign w:val="bottom"/>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27.9</w:t>
            </w:r>
          </w:p>
        </w:tc>
        <w:tc>
          <w:tcPr>
            <w:tcW w:w="240" w:type="dxa"/>
            <w:vAlign w:val="bottom"/>
            <w:shd w:val="clear" w:color="auto" w:fill="E1E1E1"/>
          </w:tcPr>
          <w:p>
            <w:pPr>
              <w:spacing w:after="0"/>
              <w:rPr>
                <w:sz w:val="20"/>
                <w:szCs w:val="20"/>
                <w:color w:val="auto"/>
              </w:rPr>
            </w:pP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1E1E1"/>
          </w:tcPr>
          <w:p>
            <w:pPr>
              <w:spacing w:after="0"/>
              <w:rPr>
                <w:sz w:val="20"/>
                <w:szCs w:val="20"/>
                <w:color w:val="auto"/>
              </w:rPr>
            </w:pPr>
          </w:p>
        </w:tc>
      </w:tr>
      <w:tr>
        <w:trPr>
          <w:trHeight w:val="244"/>
        </w:trPr>
        <w:tc>
          <w:tcPr>
            <w:tcW w:w="628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Loss on equity investment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6280" w:type="dxa"/>
            <w:vAlign w:val="bottom"/>
            <w:shd w:val="clear" w:color="auto" w:fill="E1E1E1"/>
          </w:tcPr>
          <w:p>
            <w:pPr>
              <w:ind w:left="100"/>
              <w:spacing w:after="0" w:line="243" w:lineRule="exact"/>
              <w:rPr>
                <w:sz w:val="20"/>
                <w:szCs w:val="20"/>
                <w:color w:val="auto"/>
              </w:rPr>
            </w:pPr>
            <w:r>
              <w:rPr>
                <w:rFonts w:ascii="Times New Roman" w:cs="Times New Roman" w:eastAsia="Times New Roman" w:hAnsi="Times New Roman"/>
                <w:sz w:val="20"/>
                <w:szCs w:val="20"/>
                <w:color w:val="1E1E1E"/>
              </w:rPr>
              <w:t xml:space="preserve">Asset impairments </w:t>
            </w:r>
            <w:r>
              <w:rPr>
                <w:rFonts w:ascii="Times New Roman" w:cs="Times New Roman" w:eastAsia="Times New Roman" w:hAnsi="Times New Roman"/>
                <w:sz w:val="26"/>
                <w:szCs w:val="26"/>
                <w:color w:val="1E1E1E"/>
                <w:vertAlign w:val="superscript"/>
              </w:rPr>
              <w:t>(1)</w:t>
            </w:r>
          </w:p>
        </w:tc>
        <w:tc>
          <w:tcPr>
            <w:tcW w:w="280" w:type="dxa"/>
            <w:vAlign w:val="bottom"/>
            <w:shd w:val="clear" w:color="auto" w:fill="E1E1E1"/>
          </w:tcPr>
          <w:p>
            <w:pPr>
              <w:spacing w:after="0"/>
              <w:rPr>
                <w:sz w:val="21"/>
                <w:szCs w:val="21"/>
                <w:color w:val="auto"/>
              </w:rPr>
            </w:pPr>
          </w:p>
        </w:tc>
        <w:tc>
          <w:tcPr>
            <w:tcW w:w="130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1E1E1"/>
          </w:tcPr>
          <w:p>
            <w:pPr>
              <w:spacing w:after="0"/>
              <w:rPr>
                <w:sz w:val="21"/>
                <w:szCs w:val="21"/>
                <w:color w:val="auto"/>
              </w:rPr>
            </w:pPr>
          </w:p>
        </w:tc>
        <w:tc>
          <w:tcPr>
            <w:tcW w:w="10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19.2</w:t>
            </w:r>
          </w:p>
        </w:tc>
        <w:tc>
          <w:tcPr>
            <w:tcW w:w="24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771.7</w:t>
            </w:r>
          </w:p>
        </w:tc>
        <w:tc>
          <w:tcPr>
            <w:tcW w:w="60" w:type="dxa"/>
            <w:vAlign w:val="bottom"/>
            <w:shd w:val="clear" w:color="auto" w:fill="E1E1E1"/>
          </w:tcPr>
          <w:p>
            <w:pPr>
              <w:spacing w:after="0"/>
              <w:rPr>
                <w:sz w:val="21"/>
                <w:szCs w:val="21"/>
                <w:color w:val="auto"/>
              </w:rPr>
            </w:pPr>
          </w:p>
        </w:tc>
      </w:tr>
      <w:tr>
        <w:trPr>
          <w:trHeight w:val="244"/>
        </w:trPr>
        <w:tc>
          <w:tcPr>
            <w:tcW w:w="628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12.2</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16.0</w:t>
            </w:r>
          </w:p>
        </w:tc>
        <w:tc>
          <w:tcPr>
            <w:tcW w:w="60" w:type="dxa"/>
            <w:vAlign w:val="bottom"/>
          </w:tcPr>
          <w:p>
            <w:pPr>
              <w:spacing w:after="0"/>
              <w:rPr>
                <w:sz w:val="21"/>
                <w:szCs w:val="21"/>
                <w:color w:val="auto"/>
              </w:rPr>
            </w:pPr>
          </w:p>
        </w:tc>
      </w:tr>
      <w:tr>
        <w:trPr>
          <w:trHeight w:val="244"/>
        </w:trPr>
        <w:tc>
          <w:tcPr>
            <w:tcW w:w="628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280" w:type="dxa"/>
            <w:vAlign w:val="bottom"/>
            <w:shd w:val="clear" w:color="auto" w:fill="E1E1E1"/>
          </w:tcPr>
          <w:p>
            <w:pPr>
              <w:spacing w:after="0"/>
              <w:rPr>
                <w:sz w:val="21"/>
                <w:szCs w:val="21"/>
                <w:color w:val="auto"/>
              </w:rPr>
            </w:pPr>
          </w:p>
        </w:tc>
        <w:tc>
          <w:tcPr>
            <w:tcW w:w="10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94.8</w:t>
            </w:r>
          </w:p>
        </w:tc>
        <w:tc>
          <w:tcPr>
            <w:tcW w:w="28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0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147.0</w:t>
            </w:r>
          </w:p>
        </w:tc>
        <w:tc>
          <w:tcPr>
            <w:tcW w:w="24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259.8</w:t>
            </w:r>
          </w:p>
        </w:tc>
        <w:tc>
          <w:tcPr>
            <w:tcW w:w="60" w:type="dxa"/>
            <w:vAlign w:val="bottom"/>
            <w:shd w:val="clear" w:color="auto" w:fill="E1E1E1"/>
          </w:tcPr>
          <w:p>
            <w:pPr>
              <w:spacing w:after="0"/>
              <w:rPr>
                <w:sz w:val="21"/>
                <w:szCs w:val="21"/>
                <w:color w:val="auto"/>
              </w:rPr>
            </w:pPr>
          </w:p>
        </w:tc>
      </w:tr>
      <w:tr>
        <w:trPr>
          <w:trHeight w:val="268"/>
        </w:trPr>
        <w:tc>
          <w:tcPr>
            <w:tcW w:w="628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Additions to property, plant and equipment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47.3</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28.3</w:t>
            </w:r>
          </w:p>
        </w:tc>
        <w:tc>
          <w:tcPr>
            <w:tcW w:w="60" w:type="dxa"/>
            <w:vAlign w:val="bottom"/>
          </w:tcPr>
          <w:p>
            <w:pPr>
              <w:spacing w:after="0"/>
              <w:rPr>
                <w:sz w:val="23"/>
                <w:szCs w:val="23"/>
                <w:color w:val="auto"/>
              </w:rPr>
            </w:pPr>
          </w:p>
        </w:tc>
      </w:tr>
    </w:tbl>
    <w:p>
      <w:pPr>
        <w:spacing w:after="0" w:line="76" w:lineRule="exact"/>
        <w:rPr>
          <w:sz w:val="20"/>
          <w:szCs w:val="20"/>
          <w:color w:val="auto"/>
        </w:rPr>
      </w:pPr>
    </w:p>
    <w:p>
      <w:pPr>
        <w:jc w:val="both"/>
        <w:ind w:left="480" w:right="180" w:hanging="480"/>
        <w:spacing w:after="0" w:line="260" w:lineRule="auto"/>
        <w:tabs>
          <w:tab w:leader="none" w:pos="480" w:val="left"/>
        </w:tabs>
        <w:numPr>
          <w:ilvl w:val="0"/>
          <w:numId w:val="5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For the year ended December 31, 2023, asset impairments include a loss of $203.4 million on classification as held for sale related to the Home business, $469.2 million of partial impairment charge related to the Home segment’s intangible assets and $99.1 million of partial goodwill impairment charge related to the BDCC reporting unit of the CCS segment.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Other Business Dispositions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OneCell:</w:t>
      </w:r>
    </w:p>
    <w:p>
      <w:pPr>
        <w:spacing w:after="0" w:line="11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On May 1 2025, the Company completed the sale of its OneCell business to Amphenol, pursuant to a Purchase Agreement dated April 30, 2025. OneCell is an advanced in-building small cell solution designed to deliver seamless LTE and 5G connectivity across enterprise environments. The transaction involved the sale of certain assets and transfer of certain operations that were previously included within the RUCKUS segment. The disposal did not meet the criteria for classification as a discontinued operation under ASC 205-20 as it does not represent a strategic shift that has or will have a major effect on the Company’s operations and financial 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Company received cash consideration of $7.4 million, net of $1.2 million of cash included in the assets sold.</w:t>
      </w:r>
    </w:p>
    <w:p>
      <w:pPr>
        <w:spacing w:after="0" w:line="24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1E1E1E"/>
        </w:rPr>
        <w:t>The carrying amount of the net assets disposed was $10.0 million. A pretax loss on sale of $4.8 million was recognized and included in other on the Consolidated Statements of Operations for the year ended December 31,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Transition Service Agreements</w:t>
      </w:r>
    </w:p>
    <w:p>
      <w:pPr>
        <w:spacing w:after="0" w:line="123"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20"/>
          <w:szCs w:val="20"/>
          <w:color w:val="1E1E1E"/>
        </w:rPr>
        <w:t>In conjunction with the closing of the sales of the OWN segment and DAS business unit and the OneCell business, the Company entered into the Amphenol TSA. The terms of the Amphenol TSA vary based on the services provided thereunder, with the longest such term having a duration of twelve months, excluding certain services related to manufacturing facilities. The Amphenol TSA provides options to extend services for up to two renewal terms of three months each. For the year ended December 31, 2025, the Company recognized income of $33.4 million under the Amphenol TSA, which is included in transition service agreement income within income (loss) from continuing operations on the Consolidated Statements of Operations.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79</w:t>
      </w:r>
    </w:p>
    <w:p>
      <w:pPr>
        <w:sectPr>
          <w:pgSz w:w="11880" w:h="15480" w:orient="portrait"/>
          <w:cols w:equalWidth="0" w:num="1">
            <w:col w:w="10800"/>
          </w:cols>
          <w:pgMar w:left="540" w:top="515" w:right="54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In conjunction with the closing of the Home business transaction, the Company entered into the Vantiva TSA. The terms of the Vantiva TSA varied based on the services provided thereunder, with the longest such term having a duration of thirty-six months. The Vantiva TSA provided options to extend services for up to two renewal terms of six months each. Under the Vantiva TSA, the Company recognized income of $2.1 million and $24.5 million for the years ended December 31, 2025 and 2024, respectively, which is included in transition service agreement income within income (loss) from continuing operations on the Consolidated Statements of Operations. As of the year ended December 31, 2024, the majority of the Vantiva TSA services had ceased.</w:t>
      </w:r>
    </w:p>
    <w:p>
      <w:pPr>
        <w:spacing w:after="0" w:line="197" w:lineRule="exact"/>
        <w:rPr>
          <w:sz w:val="20"/>
          <w:szCs w:val="20"/>
          <w:color w:val="auto"/>
        </w:rPr>
      </w:pPr>
    </w:p>
    <w:p>
      <w:pPr>
        <w:ind w:left="360" w:hanging="360"/>
        <w:spacing w:after="0"/>
        <w:tabs>
          <w:tab w:leader="none" w:pos="360" w:val="left"/>
        </w:tabs>
        <w:numPr>
          <w:ilvl w:val="0"/>
          <w:numId w:val="5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GOODWILL AND OTHER INTANGIBLE ASSETS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presents details of the Company’s intangible assets other than goodwill: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tcPr>
          <w:p>
            <w:pPr>
              <w:spacing w:after="0"/>
              <w:rPr>
                <w:sz w:val="17"/>
                <w:szCs w:val="17"/>
                <w:color w:val="auto"/>
              </w:rPr>
            </w:pPr>
          </w:p>
        </w:tc>
        <w:tc>
          <w:tcPr>
            <w:tcW w:w="1720" w:type="dxa"/>
            <w:vAlign w:val="bottom"/>
            <w:tcBorders>
              <w:bottom w:val="single" w:sz="8" w:color="1E1E1E"/>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rPr>
              <w:t>December 31, 2025</w:t>
            </w:r>
          </w:p>
        </w:tc>
        <w:tc>
          <w:tcPr>
            <w:tcW w:w="10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tcPr>
          <w:p>
            <w:pPr>
              <w:spacing w:after="0"/>
              <w:rPr>
                <w:sz w:val="17"/>
                <w:szCs w:val="17"/>
                <w:color w:val="auto"/>
              </w:rPr>
            </w:pPr>
          </w:p>
        </w:tc>
        <w:tc>
          <w:tcPr>
            <w:tcW w:w="1600" w:type="dxa"/>
            <w:vAlign w:val="bottom"/>
            <w:tcBorders>
              <w:bottom w:val="single" w:sz="8" w:color="1E1E1E"/>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December 31, 2024</w:t>
            </w:r>
          </w:p>
        </w:tc>
        <w:tc>
          <w:tcPr>
            <w:tcW w:w="10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spacing w:after="0"/>
              <w:rPr>
                <w:sz w:val="17"/>
                <w:szCs w:val="17"/>
                <w:color w:val="auto"/>
              </w:rPr>
            </w:pPr>
          </w:p>
        </w:tc>
        <w:tc>
          <w:tcPr>
            <w:tcW w:w="60" w:type="dxa"/>
            <w:vAlign w:val="bottom"/>
          </w:tcPr>
          <w:p>
            <w:pPr>
              <w:spacing w:after="0"/>
              <w:rPr>
                <w:sz w:val="17"/>
                <w:szCs w:val="17"/>
                <w:color w:val="auto"/>
              </w:rPr>
            </w:pPr>
          </w:p>
        </w:tc>
      </w:tr>
      <w:tr>
        <w:trPr>
          <w:trHeight w:val="173"/>
        </w:trPr>
        <w:tc>
          <w:tcPr>
            <w:tcW w:w="2420" w:type="dxa"/>
            <w:vAlign w:val="bottom"/>
          </w:tcPr>
          <w:p>
            <w:pPr>
              <w:spacing w:after="0"/>
              <w:rPr>
                <w:sz w:val="15"/>
                <w:szCs w:val="15"/>
                <w:color w:val="auto"/>
              </w:rPr>
            </w:pPr>
          </w:p>
        </w:tc>
        <w:tc>
          <w:tcPr>
            <w:tcW w:w="116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Gross Carrying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400"/>
              <w:spacing w:after="0" w:line="174" w:lineRule="exact"/>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100" w:type="dxa"/>
            <w:vAlign w:val="bottom"/>
          </w:tcPr>
          <w:p>
            <w:pPr>
              <w:spacing w:after="0"/>
              <w:rPr>
                <w:sz w:val="15"/>
                <w:szCs w:val="15"/>
                <w:color w:val="auto"/>
              </w:rPr>
            </w:pPr>
          </w:p>
        </w:tc>
        <w:tc>
          <w:tcPr>
            <w:tcW w:w="1040" w:type="dxa"/>
            <w:vAlign w:val="bottom"/>
          </w:tcPr>
          <w:p>
            <w:pPr>
              <w:jc w:val="right"/>
              <w:ind w:right="26"/>
              <w:spacing w:after="0" w:line="174" w:lineRule="exact"/>
              <w:rPr>
                <w:sz w:val="20"/>
                <w:szCs w:val="20"/>
                <w:color w:val="auto"/>
              </w:rPr>
            </w:pPr>
            <w:r>
              <w:rPr>
                <w:rFonts w:ascii="Times New Roman" w:cs="Times New Roman" w:eastAsia="Times New Roman" w:hAnsi="Times New Roman"/>
                <w:sz w:val="16"/>
                <w:szCs w:val="16"/>
                <w:b w:val="1"/>
                <w:bCs w:val="1"/>
                <w:color w:val="1E1E1E"/>
                <w:w w:val="98"/>
              </w:rPr>
              <w:t>Net Carrying</w:t>
            </w:r>
          </w:p>
        </w:tc>
        <w:tc>
          <w:tcPr>
            <w:tcW w:w="280" w:type="dxa"/>
            <w:vAlign w:val="bottom"/>
          </w:tcPr>
          <w:p>
            <w:pPr>
              <w:spacing w:after="0"/>
              <w:rPr>
                <w:sz w:val="15"/>
                <w:szCs w:val="15"/>
                <w:color w:val="auto"/>
              </w:rPr>
            </w:pPr>
          </w:p>
        </w:tc>
        <w:tc>
          <w:tcPr>
            <w:tcW w:w="116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Gross Carrying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6"/>
                <w:szCs w:val="16"/>
                <w:b w:val="1"/>
                <w:bCs w:val="1"/>
                <w:color w:val="1E1E1E"/>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46"/>
              <w:spacing w:after="0" w:line="174" w:lineRule="exact"/>
              <w:rPr>
                <w:sz w:val="20"/>
                <w:szCs w:val="20"/>
                <w:color w:val="auto"/>
              </w:rPr>
            </w:pPr>
            <w:r>
              <w:rPr>
                <w:rFonts w:ascii="Times New Roman" w:cs="Times New Roman" w:eastAsia="Times New Roman" w:hAnsi="Times New Roman"/>
                <w:sz w:val="16"/>
                <w:szCs w:val="16"/>
                <w:b w:val="1"/>
                <w:bCs w:val="1"/>
                <w:color w:val="1E1E1E"/>
                <w:w w:val="96"/>
              </w:rPr>
              <w:t>Net Carrying</w:t>
            </w:r>
          </w:p>
        </w:tc>
        <w:tc>
          <w:tcPr>
            <w:tcW w:w="60" w:type="dxa"/>
            <w:vAlign w:val="bottom"/>
          </w:tcPr>
          <w:p>
            <w:pPr>
              <w:spacing w:after="0"/>
              <w:rPr>
                <w:sz w:val="15"/>
                <w:szCs w:val="15"/>
                <w:color w:val="auto"/>
              </w:rPr>
            </w:pPr>
          </w:p>
        </w:tc>
      </w:tr>
      <w:tr>
        <w:trPr>
          <w:trHeight w:val="204"/>
        </w:trPr>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100" w:type="dxa"/>
            <w:vAlign w:val="bottom"/>
          </w:tcPr>
          <w:p>
            <w:pPr>
              <w:spacing w:after="0"/>
              <w:rPr>
                <w:sz w:val="17"/>
                <w:szCs w:val="17"/>
                <w:color w:val="auto"/>
              </w:rPr>
            </w:pPr>
          </w:p>
        </w:tc>
        <w:tc>
          <w:tcPr>
            <w:tcW w:w="104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60" w:type="dxa"/>
            <w:vAlign w:val="bottom"/>
          </w:tcPr>
          <w:p>
            <w:pPr>
              <w:spacing w:after="0"/>
              <w:rPr>
                <w:sz w:val="17"/>
                <w:szCs w:val="17"/>
                <w:color w:val="auto"/>
              </w:rPr>
            </w:pPr>
          </w:p>
        </w:tc>
      </w:tr>
      <w:tr>
        <w:trPr>
          <w:trHeight w:val="239"/>
        </w:trPr>
        <w:tc>
          <w:tcPr>
            <w:tcW w:w="242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Customer base</w:t>
            </w:r>
          </w:p>
        </w:tc>
        <w:tc>
          <w:tcPr>
            <w:tcW w:w="200" w:type="dxa"/>
            <w:vAlign w:val="bottom"/>
            <w:tcBorders>
              <w:top w:val="single" w:sz="8" w:color="1E1E1E"/>
            </w:tcBorders>
            <w:shd w:val="clear" w:color="auto" w:fill="E1E1E1"/>
          </w:tcPr>
          <w:p>
            <w:pPr>
              <w:jc w:val="right"/>
              <w:ind w:right="7"/>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1,060.6</w:t>
            </w:r>
          </w:p>
        </w:tc>
        <w:tc>
          <w:tcPr>
            <w:tcW w:w="28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408.0</w:t>
            </w:r>
          </w:p>
        </w:tc>
        <w:tc>
          <w:tcPr>
            <w:tcW w:w="30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652.6</w:t>
            </w:r>
          </w:p>
        </w:tc>
        <w:tc>
          <w:tcPr>
            <w:tcW w:w="28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1E1E1E"/>
            </w:tcBorders>
            <w:shd w:val="clear" w:color="auto" w:fill="E1E1E1"/>
          </w:tcPr>
          <w:p>
            <w:pPr>
              <w:jc w:val="right"/>
              <w:ind w:right="7"/>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1,076.1</w:t>
            </w:r>
          </w:p>
        </w:tc>
        <w:tc>
          <w:tcPr>
            <w:tcW w:w="28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362.7</w:t>
            </w:r>
          </w:p>
        </w:tc>
        <w:tc>
          <w:tcPr>
            <w:tcW w:w="18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713.4</w:t>
            </w:r>
          </w:p>
        </w:tc>
        <w:tc>
          <w:tcPr>
            <w:tcW w:w="60" w:type="dxa"/>
            <w:vAlign w:val="bottom"/>
            <w:tcBorders>
              <w:top w:val="single" w:sz="8" w:color="E1E1E1"/>
            </w:tcBorders>
            <w:shd w:val="clear" w:color="auto" w:fill="E1E1E1"/>
          </w:tcPr>
          <w:p>
            <w:pPr>
              <w:spacing w:after="0"/>
              <w:rPr>
                <w:sz w:val="20"/>
                <w:szCs w:val="20"/>
                <w:color w:val="auto"/>
              </w:rPr>
            </w:pPr>
          </w:p>
        </w:tc>
      </w:tr>
      <w:tr>
        <w:trPr>
          <w:trHeight w:val="244"/>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1E1E1E"/>
              </w:rPr>
              <w:t>Trade names and trademarks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330.0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171.3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158.7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331.7</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148.6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183.1</w:t>
            </w:r>
          </w:p>
        </w:tc>
        <w:tc>
          <w:tcPr>
            <w:tcW w:w="60" w:type="dxa"/>
            <w:vAlign w:val="bottom"/>
          </w:tcPr>
          <w:p>
            <w:pPr>
              <w:spacing w:after="0"/>
              <w:rPr>
                <w:sz w:val="21"/>
                <w:szCs w:val="21"/>
                <w:color w:val="auto"/>
              </w:rPr>
            </w:pPr>
          </w:p>
        </w:tc>
      </w:tr>
      <w:tr>
        <w:trPr>
          <w:trHeight w:val="244"/>
        </w:trPr>
        <w:tc>
          <w:tcPr>
            <w:tcW w:w="24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Patents and technologies</w:t>
            </w:r>
          </w:p>
        </w:tc>
        <w:tc>
          <w:tcPr>
            <w:tcW w:w="20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1,102.5</w:t>
            </w:r>
          </w:p>
        </w:tc>
        <w:tc>
          <w:tcPr>
            <w:tcW w:w="2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1,074.7</w:t>
            </w:r>
          </w:p>
        </w:tc>
        <w:tc>
          <w:tcPr>
            <w:tcW w:w="30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27.8</w:t>
            </w:r>
          </w:p>
        </w:tc>
        <w:tc>
          <w:tcPr>
            <w:tcW w:w="28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1,123.3</w:t>
            </w:r>
          </w:p>
        </w:tc>
        <w:tc>
          <w:tcPr>
            <w:tcW w:w="2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1,040.5</w:t>
            </w:r>
          </w:p>
        </w:tc>
        <w:tc>
          <w:tcPr>
            <w:tcW w:w="1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82.8</w:t>
            </w:r>
          </w:p>
        </w:tc>
        <w:tc>
          <w:tcPr>
            <w:tcW w:w="60" w:type="dxa"/>
            <w:vAlign w:val="bottom"/>
            <w:shd w:val="clear" w:color="auto" w:fill="E1E1E1"/>
          </w:tcPr>
          <w:p>
            <w:pPr>
              <w:spacing w:after="0"/>
              <w:rPr>
                <w:sz w:val="21"/>
                <w:szCs w:val="21"/>
                <w:color w:val="auto"/>
              </w:rPr>
            </w:pPr>
          </w:p>
        </w:tc>
      </w:tr>
      <w:tr>
        <w:trPr>
          <w:trHeight w:val="244"/>
        </w:trPr>
        <w:tc>
          <w:tcPr>
            <w:tcW w:w="24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Other </w:t>
            </w:r>
            <w:r>
              <w:rPr>
                <w:rFonts w:ascii="Times New Roman" w:cs="Times New Roman" w:eastAsia="Times New Roman" w:hAnsi="Times New Roman"/>
                <w:sz w:val="26"/>
                <w:szCs w:val="26"/>
                <w:color w:val="1E1E1E"/>
                <w:vertAlign w:val="superscript"/>
              </w:rPr>
              <w:t>(1)</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1"/>
                <w:szCs w:val="21"/>
                <w:color w:val="auto"/>
              </w:rPr>
            </w:pPr>
          </w:p>
        </w:tc>
      </w:tr>
      <w:tr>
        <w:trPr>
          <w:trHeight w:val="239"/>
        </w:trPr>
        <w:tc>
          <w:tcPr>
            <w:tcW w:w="2420" w:type="dxa"/>
            <w:vAlign w:val="bottom"/>
            <w:tcBorders>
              <w:top w:val="single" w:sz="8" w:color="E1E1E1"/>
            </w:tcBorders>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Total intangible assets</w:t>
            </w:r>
          </w:p>
        </w:tc>
        <w:tc>
          <w:tcPr>
            <w:tcW w:w="200" w:type="dxa"/>
            <w:vAlign w:val="bottom"/>
            <w:tcBorders>
              <w:top w:val="single" w:sz="8" w:color="1E1E1E"/>
              <w:bottom w:val="single" w:sz="8" w:color="1E1E1E"/>
            </w:tcBorders>
            <w:shd w:val="clear" w:color="auto" w:fill="E1E1E1"/>
          </w:tcPr>
          <w:p>
            <w:pPr>
              <w:jc w:val="right"/>
              <w:ind w:right="7"/>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2,493.1</w:t>
            </w:r>
          </w:p>
        </w:tc>
        <w:tc>
          <w:tcPr>
            <w:tcW w:w="28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1,654.0</w:t>
            </w:r>
          </w:p>
        </w:tc>
        <w:tc>
          <w:tcPr>
            <w:tcW w:w="30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839.1</w:t>
            </w:r>
          </w:p>
        </w:tc>
        <w:tc>
          <w:tcPr>
            <w:tcW w:w="28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1E1E1E"/>
              <w:bottom w:val="single" w:sz="8" w:color="1E1E1E"/>
            </w:tcBorders>
            <w:shd w:val="clear" w:color="auto" w:fill="E1E1E1"/>
          </w:tcPr>
          <w:p>
            <w:pPr>
              <w:jc w:val="right"/>
              <w:ind w:right="7"/>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2,563.1</w:t>
            </w:r>
          </w:p>
        </w:tc>
        <w:tc>
          <w:tcPr>
            <w:tcW w:w="28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1,583.8</w:t>
            </w:r>
          </w:p>
        </w:tc>
        <w:tc>
          <w:tcPr>
            <w:tcW w:w="18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979.3</w:t>
            </w:r>
          </w:p>
        </w:tc>
        <w:tc>
          <w:tcPr>
            <w:tcW w:w="60" w:type="dxa"/>
            <w:vAlign w:val="bottom"/>
            <w:tcBorders>
              <w:top w:val="single" w:sz="8" w:color="E1E1E1"/>
            </w:tcBorders>
            <w:shd w:val="clear" w:color="auto" w:fill="E1E1E1"/>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left="480" w:right="660" w:hanging="480"/>
        <w:spacing w:after="0" w:line="260" w:lineRule="auto"/>
        <w:tabs>
          <w:tab w:leader="none" w:pos="480" w:val="left"/>
        </w:tabs>
        <w:numPr>
          <w:ilvl w:val="0"/>
          <w:numId w:val="5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During the year ended December 31, 2025, the Company wrote off approximately $32.0 million of gross cost and accumulated amortization related to fully amortized other intangibles. The adjustment did not have an impact on the net balances previously reported during any of the interim periods during 2025, nor any prior fiscal periods.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There were no impairments of finite-lived intangible assets identified during the years ended December 31, 2025, 2024 or 2023.</w:t>
      </w:r>
    </w:p>
    <w:p>
      <w:pPr>
        <w:spacing w:after="0" w:line="24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color w:val="1E1E1E"/>
        </w:rPr>
        <w:t>Amortization expense for intangible assets was $138.4 million, $165.1 million and $227.0 million for the years ended December 31, 2025, 2024 and 2023, respectively. Future amortization expense as of December 31, 2025 is as follows:</w:t>
      </w:r>
    </w:p>
    <w:p>
      <w:pPr>
        <w:spacing w:after="0" w:line="141" w:lineRule="exact"/>
        <w:rPr>
          <w:sz w:val="20"/>
          <w:szCs w:val="20"/>
          <w:color w:val="auto"/>
        </w:rPr>
      </w:pPr>
    </w:p>
    <w:tbl>
      <w:tblPr>
        <w:tblLayout w:type="fixed"/>
        <w:tblInd w:w="330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w w:val="98"/>
              </w:rPr>
              <w:t>Estimated</w:t>
            </w:r>
          </w:p>
        </w:tc>
        <w:tc>
          <w:tcPr>
            <w:tcW w:w="60" w:type="dxa"/>
            <w:vAlign w:val="bottom"/>
          </w:tcPr>
          <w:p>
            <w:pPr>
              <w:spacing w:after="0"/>
              <w:rPr>
                <w:sz w:val="16"/>
                <w:szCs w:val="16"/>
                <w:color w:val="auto"/>
              </w:rPr>
            </w:pPr>
          </w:p>
        </w:tc>
      </w:tr>
      <w:tr>
        <w:trPr>
          <w:trHeight w:val="184"/>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60" w:type="dxa"/>
            <w:vAlign w:val="bottom"/>
          </w:tcPr>
          <w:p>
            <w:pPr>
              <w:spacing w:after="0"/>
              <w:rPr>
                <w:sz w:val="16"/>
                <w:szCs w:val="16"/>
                <w:color w:val="auto"/>
              </w:rPr>
            </w:pPr>
          </w:p>
        </w:tc>
      </w:tr>
      <w:tr>
        <w:trPr>
          <w:trHeight w:val="204"/>
        </w:trPr>
        <w:tc>
          <w:tcPr>
            <w:tcW w:w="2680" w:type="dxa"/>
            <w:vAlign w:val="bottom"/>
            <w:tcBorders>
              <w:bottom w:val="single" w:sz="8" w:color="E1E1E1"/>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80" w:type="dxa"/>
            <w:vAlign w:val="bottom"/>
            <w:tcBorders>
              <w:bottom w:val="single" w:sz="8" w:color="1E1E1E"/>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w w:val="98"/>
              </w:rPr>
              <w:t>Expense</w:t>
            </w:r>
          </w:p>
        </w:tc>
        <w:tc>
          <w:tcPr>
            <w:tcW w:w="60" w:type="dxa"/>
            <w:vAlign w:val="bottom"/>
            <w:tcBorders>
              <w:bottom w:val="single" w:sz="8" w:color="E1E1E1"/>
            </w:tcBorders>
          </w:tcPr>
          <w:p>
            <w:pPr>
              <w:spacing w:after="0"/>
              <w:rPr>
                <w:sz w:val="17"/>
                <w:szCs w:val="17"/>
                <w:color w:val="auto"/>
              </w:rPr>
            </w:pPr>
          </w:p>
        </w:tc>
      </w:tr>
      <w:tr>
        <w:trPr>
          <w:trHeight w:val="239"/>
        </w:trPr>
        <w:tc>
          <w:tcPr>
            <w:tcW w:w="26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2026</w:t>
            </w: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102.0</w:t>
            </w:r>
          </w:p>
        </w:tc>
        <w:tc>
          <w:tcPr>
            <w:tcW w:w="60" w:type="dxa"/>
            <w:vAlign w:val="bottom"/>
            <w:shd w:val="clear" w:color="auto" w:fill="E1E1E1"/>
          </w:tcPr>
          <w:p>
            <w:pPr>
              <w:spacing w:after="0"/>
              <w:rPr>
                <w:sz w:val="20"/>
                <w:szCs w:val="20"/>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1E1E1E"/>
              </w:rPr>
              <w:t>2027</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90.0</w:t>
            </w:r>
          </w:p>
        </w:tc>
        <w:tc>
          <w:tcPr>
            <w:tcW w:w="60" w:type="dxa"/>
            <w:vAlign w:val="bottom"/>
          </w:tcPr>
          <w:p>
            <w:pPr>
              <w:spacing w:after="0"/>
              <w:rPr>
                <w:sz w:val="21"/>
                <w:szCs w:val="21"/>
                <w:color w:val="auto"/>
              </w:rPr>
            </w:pPr>
          </w:p>
        </w:tc>
      </w:tr>
      <w:tr>
        <w:trPr>
          <w:trHeight w:val="244"/>
        </w:trPr>
        <w:tc>
          <w:tcPr>
            <w:tcW w:w="26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2028</w:t>
            </w:r>
          </w:p>
        </w:tc>
        <w:tc>
          <w:tcPr>
            <w:tcW w:w="180" w:type="dxa"/>
            <w:vAlign w:val="bottom"/>
            <w:shd w:val="clear" w:color="auto" w:fill="E1E1E1"/>
          </w:tcPr>
          <w:p>
            <w:pPr>
              <w:spacing w:after="0"/>
              <w:rPr>
                <w:sz w:val="21"/>
                <w:szCs w:val="21"/>
                <w:color w:val="auto"/>
              </w:rPr>
            </w:pPr>
          </w:p>
        </w:tc>
        <w:tc>
          <w:tcPr>
            <w:tcW w:w="12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88.5</w:t>
            </w:r>
          </w:p>
        </w:tc>
        <w:tc>
          <w:tcPr>
            <w:tcW w:w="60" w:type="dxa"/>
            <w:vAlign w:val="bottom"/>
            <w:shd w:val="clear" w:color="auto" w:fill="E1E1E1"/>
          </w:tcPr>
          <w:p>
            <w:pPr>
              <w:spacing w:after="0"/>
              <w:rPr>
                <w:sz w:val="21"/>
                <w:szCs w:val="21"/>
                <w:color w:val="auto"/>
              </w:rPr>
            </w:pPr>
          </w:p>
        </w:tc>
      </w:tr>
      <w:tr>
        <w:trPr>
          <w:trHeight w:val="244"/>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1E1E1E"/>
              </w:rPr>
              <w:t>2029</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88.5</w:t>
            </w:r>
          </w:p>
        </w:tc>
        <w:tc>
          <w:tcPr>
            <w:tcW w:w="60" w:type="dxa"/>
            <w:vAlign w:val="bottom"/>
          </w:tcPr>
          <w:p>
            <w:pPr>
              <w:spacing w:after="0"/>
              <w:rPr>
                <w:sz w:val="21"/>
                <w:szCs w:val="21"/>
                <w:color w:val="auto"/>
              </w:rPr>
            </w:pPr>
          </w:p>
        </w:tc>
      </w:tr>
      <w:tr>
        <w:trPr>
          <w:trHeight w:val="244"/>
        </w:trPr>
        <w:tc>
          <w:tcPr>
            <w:tcW w:w="26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2030</w:t>
            </w:r>
          </w:p>
        </w:tc>
        <w:tc>
          <w:tcPr>
            <w:tcW w:w="180" w:type="dxa"/>
            <w:vAlign w:val="bottom"/>
            <w:shd w:val="clear" w:color="auto" w:fill="E1E1E1"/>
          </w:tcPr>
          <w:p>
            <w:pPr>
              <w:spacing w:after="0"/>
              <w:rPr>
                <w:sz w:val="21"/>
                <w:szCs w:val="21"/>
                <w:color w:val="auto"/>
              </w:rPr>
            </w:pPr>
          </w:p>
        </w:tc>
        <w:tc>
          <w:tcPr>
            <w:tcW w:w="12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88.5</w:t>
            </w:r>
          </w:p>
        </w:tc>
        <w:tc>
          <w:tcPr>
            <w:tcW w:w="60" w:type="dxa"/>
            <w:vAlign w:val="bottom"/>
            <w:shd w:val="clear" w:color="auto" w:fill="E1E1E1"/>
          </w:tcPr>
          <w:p>
            <w:pPr>
              <w:spacing w:after="0"/>
              <w:rPr>
                <w:sz w:val="21"/>
                <w:szCs w:val="21"/>
                <w:color w:val="auto"/>
              </w:rPr>
            </w:pPr>
          </w:p>
        </w:tc>
      </w:tr>
      <w:tr>
        <w:trPr>
          <w:trHeight w:val="26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381.3</w:t>
            </w:r>
          </w:p>
        </w:tc>
        <w:tc>
          <w:tcPr>
            <w:tcW w:w="60" w:type="dxa"/>
            <w:vAlign w:val="bottom"/>
          </w:tcPr>
          <w:p>
            <w:pPr>
              <w:spacing w:after="0"/>
              <w:rPr>
                <w:sz w:val="23"/>
                <w:szCs w:val="23"/>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presents the activity in goodwill by reportable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5"/>
                <w:szCs w:val="15"/>
                <w:b w:val="1"/>
                <w:bCs w:val="1"/>
                <w:color w:val="1E1E1E"/>
              </w:rPr>
              <w:t>December 31, 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1E1E1E"/>
              </w:rPr>
              <w:t>Activity</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1E1E1E"/>
                <w:w w:val="98"/>
              </w:rPr>
              <w:t>December 31, 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280" w:type="dxa"/>
            <w:vAlign w:val="bottom"/>
            <w:tcBorders>
              <w:top w:val="single" w:sz="8" w:color="1E1E1E"/>
            </w:tcBorders>
          </w:tcPr>
          <w:p>
            <w:pPr>
              <w:spacing w:after="0"/>
              <w:rPr>
                <w:sz w:val="14"/>
                <w:szCs w:val="14"/>
                <w:color w:val="auto"/>
              </w:rPr>
            </w:pPr>
          </w:p>
        </w:tc>
        <w:tc>
          <w:tcPr>
            <w:tcW w:w="1220" w:type="dxa"/>
            <w:vAlign w:val="bottom"/>
            <w:tcBorders>
              <w:top w:val="single" w:sz="8" w:color="1E1E1E"/>
            </w:tcBorders>
          </w:tcPr>
          <w:p>
            <w:pPr>
              <w:spacing w:after="0"/>
              <w:rPr>
                <w:sz w:val="14"/>
                <w:szCs w:val="14"/>
                <w:color w:val="auto"/>
              </w:rPr>
            </w:pPr>
          </w:p>
        </w:tc>
        <w:tc>
          <w:tcPr>
            <w:tcW w:w="240" w:type="dxa"/>
            <w:vAlign w:val="bottom"/>
            <w:tcBorders>
              <w:top w:val="single" w:sz="8" w:color="1E1E1E"/>
            </w:tcBorders>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1160" w:type="dxa"/>
            <w:vAlign w:val="bottom"/>
            <w:tcBorders>
              <w:top w:val="single" w:sz="8" w:color="1E1E1E"/>
            </w:tcBorders>
          </w:tcPr>
          <w:p>
            <w:pPr>
              <w:spacing w:after="0"/>
              <w:rPr>
                <w:sz w:val="14"/>
                <w:szCs w:val="14"/>
                <w:color w:val="auto"/>
              </w:rPr>
            </w:pPr>
          </w:p>
        </w:tc>
        <w:tc>
          <w:tcPr>
            <w:tcW w:w="20" w:type="dxa"/>
            <w:vAlign w:val="bottom"/>
            <w:tcBorders>
              <w:top w:val="single" w:sz="8" w:color="1E1E1E"/>
            </w:tcBorders>
          </w:tcPr>
          <w:p>
            <w:pPr>
              <w:spacing w:after="0"/>
              <w:rPr>
                <w:sz w:val="14"/>
                <w:szCs w:val="14"/>
                <w:color w:val="auto"/>
              </w:rPr>
            </w:pPr>
          </w:p>
        </w:tc>
        <w:tc>
          <w:tcPr>
            <w:tcW w:w="140" w:type="dxa"/>
            <w:vAlign w:val="bottom"/>
            <w:tcBorders>
              <w:top w:val="single" w:sz="8" w:color="1E1E1E"/>
            </w:tcBorders>
          </w:tcPr>
          <w:p>
            <w:pPr>
              <w:spacing w:after="0"/>
              <w:rPr>
                <w:sz w:val="14"/>
                <w:szCs w:val="14"/>
                <w:color w:val="auto"/>
              </w:rPr>
            </w:pPr>
          </w:p>
        </w:tc>
        <w:tc>
          <w:tcPr>
            <w:tcW w:w="100" w:type="dxa"/>
            <w:vAlign w:val="bottom"/>
            <w:tcBorders>
              <w:top w:val="single" w:sz="8" w:color="1E1E1E"/>
            </w:tcBorders>
          </w:tcPr>
          <w:p>
            <w:pPr>
              <w:spacing w:after="0"/>
              <w:rPr>
                <w:sz w:val="14"/>
                <w:szCs w:val="14"/>
                <w:color w:val="auto"/>
              </w:rPr>
            </w:pPr>
          </w:p>
        </w:tc>
        <w:tc>
          <w:tcPr>
            <w:tcW w:w="20" w:type="dxa"/>
            <w:vAlign w:val="bottom"/>
            <w:tcBorders>
              <w:top w:val="single" w:sz="8" w:color="1E1E1E"/>
            </w:tcBorders>
          </w:tcPr>
          <w:p>
            <w:pPr>
              <w:spacing w:after="0"/>
              <w:rPr>
                <w:sz w:val="14"/>
                <w:szCs w:val="14"/>
                <w:color w:val="auto"/>
              </w:rPr>
            </w:pPr>
          </w:p>
        </w:tc>
        <w:tc>
          <w:tcPr>
            <w:tcW w:w="180" w:type="dxa"/>
            <w:vAlign w:val="bottom"/>
            <w:tcBorders>
              <w:top w:val="single" w:sz="8" w:color="1E1E1E"/>
            </w:tcBorders>
          </w:tcPr>
          <w:p>
            <w:pPr>
              <w:spacing w:after="0"/>
              <w:rPr>
                <w:sz w:val="14"/>
                <w:szCs w:val="14"/>
                <w:color w:val="auto"/>
              </w:rPr>
            </w:pPr>
          </w:p>
        </w:tc>
        <w:tc>
          <w:tcPr>
            <w:tcW w:w="760" w:type="dxa"/>
            <w:vAlign w:val="bottom"/>
            <w:tcBorders>
              <w:top w:val="single" w:sz="8" w:color="1E1E1E"/>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1E1E1E"/>
            </w:tcBorders>
          </w:tcPr>
          <w:p>
            <w:pPr>
              <w:spacing w:after="0"/>
              <w:rPr>
                <w:sz w:val="14"/>
                <w:szCs w:val="14"/>
                <w:color w:val="auto"/>
              </w:rPr>
            </w:pPr>
          </w:p>
        </w:tc>
        <w:tc>
          <w:tcPr>
            <w:tcW w:w="10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jc w:val="center"/>
              <w:ind w:right="53"/>
              <w:spacing w:after="0" w:line="163" w:lineRule="exact"/>
              <w:rPr>
                <w:sz w:val="20"/>
                <w:szCs w:val="20"/>
                <w:color w:val="auto"/>
              </w:rPr>
            </w:pPr>
            <w:r>
              <w:rPr>
                <w:rFonts w:ascii="Times New Roman" w:cs="Times New Roman" w:eastAsia="Times New Roman" w:hAnsi="Times New Roman"/>
                <w:sz w:val="15"/>
                <w:szCs w:val="15"/>
                <w:b w:val="1"/>
                <w:bCs w:val="1"/>
                <w:color w:val="1E1E1E"/>
                <w:w w:val="99"/>
              </w:rPr>
              <w:t>Foreign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860" w:type="dxa"/>
            <w:vAlign w:val="bottom"/>
            <w:tcBorders>
              <w:top w:val="single" w:sz="8" w:color="1E1E1E"/>
            </w:tcBorders>
          </w:tcPr>
          <w:p>
            <w:pPr>
              <w:spacing w:after="0"/>
              <w:rPr>
                <w:sz w:val="14"/>
                <w:szCs w:val="14"/>
                <w:color w:val="auto"/>
              </w:rPr>
            </w:pPr>
          </w:p>
        </w:tc>
        <w:tc>
          <w:tcPr>
            <w:tcW w:w="260" w:type="dxa"/>
            <w:vAlign w:val="bottom"/>
            <w:tcBorders>
              <w:top w:val="single" w:sz="8" w:color="1E1E1E"/>
            </w:tcBorders>
          </w:tcPr>
          <w:p>
            <w:pPr>
              <w:spacing w:after="0"/>
              <w:rPr>
                <w:sz w:val="14"/>
                <w:szCs w:val="14"/>
                <w:color w:val="auto"/>
              </w:rPr>
            </w:pPr>
          </w:p>
        </w:tc>
        <w:tc>
          <w:tcPr>
            <w:tcW w:w="120" w:type="dxa"/>
            <w:vAlign w:val="bottom"/>
            <w:tcBorders>
              <w:top w:val="single" w:sz="8" w:color="1E1E1E"/>
            </w:tcBorders>
          </w:tcPr>
          <w:p>
            <w:pPr>
              <w:spacing w:after="0"/>
              <w:rPr>
                <w:sz w:val="14"/>
                <w:szCs w:val="14"/>
                <w:color w:val="auto"/>
              </w:rPr>
            </w:pPr>
          </w:p>
        </w:tc>
        <w:tc>
          <w:tcPr>
            <w:tcW w:w="1180" w:type="dxa"/>
            <w:vAlign w:val="bottom"/>
            <w:tcBorders>
              <w:top w:val="single" w:sz="8" w:color="1E1E1E"/>
            </w:tcBorders>
            <w:gridSpan w:val="3"/>
          </w:tcPr>
          <w:p>
            <w:pPr>
              <w:jc w:val="center"/>
              <w:ind w:right="300"/>
              <w:spacing w:after="0" w:line="163" w:lineRule="exact"/>
              <w:rPr>
                <w:sz w:val="20"/>
                <w:szCs w:val="20"/>
                <w:color w:val="auto"/>
              </w:rPr>
            </w:pPr>
            <w:r>
              <w:rPr>
                <w:rFonts w:ascii="Times New Roman" w:cs="Times New Roman" w:eastAsia="Times New Roman" w:hAnsi="Times New Roman"/>
                <w:sz w:val="15"/>
                <w:szCs w:val="15"/>
                <w:b w:val="1"/>
                <w:bCs w:val="1"/>
                <w:color w:val="1E1E1E"/>
                <w:w w:val="98"/>
              </w:rPr>
              <w:t>Accumulated</w:t>
            </w:r>
          </w:p>
        </w:tc>
        <w:tc>
          <w:tcPr>
            <w:tcW w:w="100" w:type="dxa"/>
            <w:vAlign w:val="bottom"/>
            <w:tcBorders>
              <w:top w:val="single" w:sz="8" w:color="1E1E1E"/>
            </w:tcBorders>
          </w:tcPr>
          <w:p>
            <w:pPr>
              <w:spacing w:after="0"/>
              <w:rPr>
                <w:sz w:val="14"/>
                <w:szCs w:val="14"/>
                <w:color w:val="auto"/>
              </w:rPr>
            </w:pPr>
          </w:p>
        </w:tc>
        <w:tc>
          <w:tcPr>
            <w:tcW w:w="20" w:type="dxa"/>
            <w:vAlign w:val="bottom"/>
            <w:tcBorders>
              <w:top w:val="single" w:sz="8" w:color="1E1E1E"/>
            </w:tcBorders>
          </w:tcPr>
          <w:p>
            <w:pPr>
              <w:spacing w:after="0"/>
              <w:rPr>
                <w:sz w:val="14"/>
                <w:szCs w:val="14"/>
                <w:color w:val="auto"/>
              </w:rPr>
            </w:pPr>
          </w:p>
        </w:tc>
        <w:tc>
          <w:tcPr>
            <w:tcW w:w="18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1E1E1E"/>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1E1E1E"/>
              </w:rPr>
              <w:t>Exchange and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1E1E1E"/>
              </w:rPr>
              <w:t>Impairment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360" w:type="dxa"/>
            <w:vAlign w:val="bottom"/>
            <w:tcBorders>
              <w:bottom w:val="single" w:sz="8" w:color="E1E1E1"/>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1220" w:type="dxa"/>
            <w:vAlign w:val="bottom"/>
            <w:tcBorders>
              <w:bottom w:val="single" w:sz="8" w:color="1E1E1E"/>
            </w:tcBorders>
          </w:tcPr>
          <w:p>
            <w:pPr>
              <w:jc w:val="right"/>
              <w:ind w:right="386"/>
              <w:spacing w:after="0"/>
              <w:rPr>
                <w:sz w:val="20"/>
                <w:szCs w:val="20"/>
                <w:color w:val="auto"/>
              </w:rPr>
            </w:pPr>
            <w:r>
              <w:rPr>
                <w:rFonts w:ascii="Times New Roman" w:cs="Times New Roman" w:eastAsia="Times New Roman" w:hAnsi="Times New Roman"/>
                <w:sz w:val="15"/>
                <w:szCs w:val="15"/>
                <w:b w:val="1"/>
                <w:bCs w:val="1"/>
                <w:color w:val="1E1E1E"/>
              </w:rPr>
              <w:t>Goodwill</w:t>
            </w:r>
          </w:p>
        </w:tc>
        <w:tc>
          <w:tcPr>
            <w:tcW w:w="240" w:type="dxa"/>
            <w:vAlign w:val="bottom"/>
            <w:tcBorders>
              <w:bottom w:val="single" w:sz="8" w:color="E1E1E1"/>
            </w:tcBorders>
          </w:tcPr>
          <w:p>
            <w:pPr>
              <w:spacing w:after="0"/>
              <w:rPr>
                <w:sz w:val="16"/>
                <w:szCs w:val="16"/>
                <w:color w:val="auto"/>
              </w:rPr>
            </w:pPr>
          </w:p>
        </w:tc>
        <w:tc>
          <w:tcPr>
            <w:tcW w:w="132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1E1E1E"/>
                <w:w w:val="99"/>
              </w:rPr>
              <w:t>Impairment Losses</w:t>
            </w:r>
          </w:p>
        </w:tc>
        <w:tc>
          <w:tcPr>
            <w:tcW w:w="1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760" w:type="dxa"/>
            <w:vAlign w:val="bottom"/>
            <w:tcBorders>
              <w:bottom w:val="single" w:sz="8" w:color="1E1E1E"/>
            </w:tcBorders>
          </w:tcPr>
          <w:p>
            <w:pPr>
              <w:jc w:val="right"/>
              <w:ind w:right="226"/>
              <w:spacing w:after="0"/>
              <w:rPr>
                <w:sz w:val="20"/>
                <w:szCs w:val="20"/>
                <w:color w:val="auto"/>
              </w:rPr>
            </w:pPr>
            <w:r>
              <w:rPr>
                <w:rFonts w:ascii="Times New Roman" w:cs="Times New Roman" w:eastAsia="Times New Roman" w:hAnsi="Times New Roman"/>
                <w:sz w:val="15"/>
                <w:szCs w:val="15"/>
                <w:b w:val="1"/>
                <w:bCs w:val="1"/>
                <w:color w:val="1E1E1E"/>
              </w:rPr>
              <w:t>Total</w:t>
            </w:r>
          </w:p>
        </w:tc>
        <w:tc>
          <w:tcPr>
            <w:tcW w:w="240" w:type="dxa"/>
            <w:vAlign w:val="bottom"/>
            <w:tcBorders>
              <w:bottom w:val="single" w:sz="8" w:color="E1E1E1"/>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center"/>
              <w:ind w:right="53"/>
              <w:spacing w:after="0"/>
              <w:rPr>
                <w:sz w:val="20"/>
                <w:szCs w:val="20"/>
                <w:color w:val="auto"/>
              </w:rPr>
            </w:pPr>
            <w:r>
              <w:rPr>
                <w:rFonts w:ascii="Times New Roman" w:cs="Times New Roman" w:eastAsia="Times New Roman" w:hAnsi="Times New Roman"/>
                <w:sz w:val="15"/>
                <w:szCs w:val="15"/>
                <w:b w:val="1"/>
                <w:bCs w:val="1"/>
                <w:color w:val="1E1E1E"/>
                <w:w w:val="99"/>
              </w:rPr>
              <w:t>Other</w:t>
            </w:r>
          </w:p>
        </w:tc>
        <w:tc>
          <w:tcPr>
            <w:tcW w:w="140" w:type="dxa"/>
            <w:vAlign w:val="bottom"/>
            <w:tcBorders>
              <w:bottom w:val="single" w:sz="8" w:color="E1E1E1"/>
            </w:tcBorders>
          </w:tcPr>
          <w:p>
            <w:pPr>
              <w:spacing w:after="0"/>
              <w:rPr>
                <w:sz w:val="16"/>
                <w:szCs w:val="16"/>
                <w:color w:val="auto"/>
              </w:rPr>
            </w:pPr>
          </w:p>
        </w:tc>
        <w:tc>
          <w:tcPr>
            <w:tcW w:w="100" w:type="dxa"/>
            <w:vAlign w:val="bottom"/>
            <w:tcBorders>
              <w:bottom w:val="single" w:sz="8" w:color="E1E1E1"/>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126"/>
              <w:spacing w:after="0"/>
              <w:rPr>
                <w:sz w:val="20"/>
                <w:szCs w:val="20"/>
                <w:color w:val="auto"/>
              </w:rPr>
            </w:pPr>
            <w:r>
              <w:rPr>
                <w:rFonts w:ascii="Times New Roman" w:cs="Times New Roman" w:eastAsia="Times New Roman" w:hAnsi="Times New Roman"/>
                <w:sz w:val="15"/>
                <w:szCs w:val="15"/>
                <w:b w:val="1"/>
                <w:bCs w:val="1"/>
                <w:color w:val="1E1E1E"/>
              </w:rPr>
              <w:t>Goodwill</w:t>
            </w:r>
          </w:p>
        </w:tc>
        <w:tc>
          <w:tcPr>
            <w:tcW w:w="260" w:type="dxa"/>
            <w:vAlign w:val="bottom"/>
            <w:tcBorders>
              <w:bottom w:val="single" w:sz="8" w:color="E1E1E1"/>
            </w:tcBorders>
          </w:tcPr>
          <w:p>
            <w:pPr>
              <w:spacing w:after="0"/>
              <w:rPr>
                <w:sz w:val="16"/>
                <w:szCs w:val="16"/>
                <w:color w:val="auto"/>
              </w:rPr>
            </w:pPr>
          </w:p>
        </w:tc>
        <w:tc>
          <w:tcPr>
            <w:tcW w:w="120" w:type="dxa"/>
            <w:vAlign w:val="bottom"/>
            <w:tcBorders>
              <w:bottom w:val="single" w:sz="8" w:color="1E1E1E"/>
            </w:tcBorders>
          </w:tcPr>
          <w:p>
            <w:pPr>
              <w:spacing w:after="0"/>
              <w:rPr>
                <w:sz w:val="16"/>
                <w:szCs w:val="16"/>
                <w:color w:val="auto"/>
              </w:rPr>
            </w:pPr>
          </w:p>
        </w:tc>
        <w:tc>
          <w:tcPr>
            <w:tcW w:w="1040" w:type="dxa"/>
            <w:vAlign w:val="bottom"/>
            <w:tcBorders>
              <w:bottom w:val="single" w:sz="8" w:color="1E1E1E"/>
            </w:tcBorders>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1E1E1E"/>
              </w:rPr>
              <w:t>Losses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1E1E1E"/>
              </w:rPr>
              <w:t>Total</w:t>
            </w:r>
          </w:p>
        </w:tc>
        <w:tc>
          <w:tcPr>
            <w:tcW w:w="0" w:type="dxa"/>
            <w:vAlign w:val="bottom"/>
          </w:tcPr>
          <w:p>
            <w:pPr>
              <w:spacing w:after="0"/>
              <w:rPr>
                <w:sz w:val="1"/>
                <w:szCs w:val="1"/>
                <w:color w:val="auto"/>
              </w:rPr>
            </w:pPr>
          </w:p>
        </w:tc>
      </w:tr>
      <w:tr>
        <w:trPr>
          <w:trHeight w:val="239"/>
        </w:trPr>
        <w:tc>
          <w:tcPr>
            <w:tcW w:w="13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RUCKUS</w:t>
            </w: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534.7</w:t>
            </w:r>
          </w:p>
        </w:tc>
        <w:tc>
          <w:tcPr>
            <w:tcW w:w="240" w:type="dxa"/>
            <w:vAlign w:val="bottom"/>
            <w:shd w:val="clear" w:color="auto" w:fill="E1E1E1"/>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1E1E1E"/>
              </w:rPr>
              <w:t>(41.2)</w:t>
            </w:r>
          </w:p>
        </w:tc>
        <w:tc>
          <w:tcPr>
            <w:tcW w:w="100" w:type="dxa"/>
            <w:vAlign w:val="bottom"/>
          </w:tcPr>
          <w:p>
            <w:pPr>
              <w:spacing w:after="0"/>
              <w:rPr>
                <w:sz w:val="20"/>
                <w:szCs w:val="20"/>
                <w:color w:val="auto"/>
              </w:rPr>
            </w:pPr>
          </w:p>
        </w:tc>
        <w:tc>
          <w:tcPr>
            <w:tcW w:w="200" w:type="dxa"/>
            <w:vAlign w:val="bottom"/>
            <w:gridSpan w:val="2"/>
            <w:shd w:val="clear" w:color="auto" w:fill="E1E1E1"/>
          </w:tcPr>
          <w:p>
            <w:pPr>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493.5</w:t>
            </w:r>
          </w:p>
        </w:tc>
        <w:tc>
          <w:tcPr>
            <w:tcW w:w="240" w:type="dxa"/>
            <w:vAlign w:val="bottom"/>
            <w:shd w:val="clear" w:color="auto" w:fill="E1E1E1"/>
          </w:tcPr>
          <w:p>
            <w:pPr>
              <w:spacing w:after="0"/>
              <w:rPr>
                <w:sz w:val="20"/>
                <w:szCs w:val="20"/>
                <w:color w:val="auto"/>
              </w:rPr>
            </w:pPr>
          </w:p>
        </w:tc>
        <w:tc>
          <w:tcPr>
            <w:tcW w:w="120" w:type="dxa"/>
            <w:vAlign w:val="bottom"/>
            <w:gridSpan w:val="2"/>
            <w:shd w:val="clear" w:color="auto" w:fill="E1E1E1"/>
          </w:tcPr>
          <w:p>
            <w:pPr>
              <w:spacing w:after="0"/>
              <w:rPr>
                <w:sz w:val="20"/>
                <w:szCs w:val="20"/>
                <w:color w:val="auto"/>
              </w:rPr>
            </w:pPr>
            <w:r>
              <w:rPr>
                <w:rFonts w:ascii="Times New Roman" w:cs="Times New Roman" w:eastAsia="Times New Roman" w:hAnsi="Times New Roman"/>
                <w:sz w:val="20"/>
                <w:szCs w:val="20"/>
                <w:color w:val="1E1E1E"/>
                <w:w w:val="99"/>
              </w:rPr>
              <w:t>$</w:t>
            </w:r>
          </w:p>
        </w:tc>
        <w:tc>
          <w:tcPr>
            <w:tcW w:w="84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14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160" w:type="dxa"/>
            <w:vAlign w:val="bottom"/>
            <w:tcBorders>
              <w:lef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537.1</w:t>
            </w:r>
          </w:p>
        </w:tc>
        <w:tc>
          <w:tcPr>
            <w:tcW w:w="260" w:type="dxa"/>
            <w:vAlign w:val="bottom"/>
            <w:shd w:val="clear" w:color="auto" w:fill="E1E1E1"/>
          </w:tcPr>
          <w:p>
            <w:pPr>
              <w:spacing w:after="0"/>
              <w:rPr>
                <w:sz w:val="20"/>
                <w:szCs w:val="20"/>
                <w:color w:val="auto"/>
              </w:rPr>
            </w:pPr>
          </w:p>
        </w:tc>
        <w:tc>
          <w:tcPr>
            <w:tcW w:w="120" w:type="dxa"/>
            <w:vAlign w:val="bottom"/>
            <w:tcBorders>
              <w:left w:val="single" w:sz="8" w:color="E1E1E1"/>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1E1E1E"/>
              </w:rPr>
              <w:t>(41.2)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shd w:val="clear" w:color="auto" w:fill="E1E1E1"/>
          </w:tcPr>
          <w:p>
            <w:pPr>
              <w:jc w:val="right"/>
              <w:ind w:right="15"/>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495.9</w:t>
            </w:r>
          </w:p>
        </w:tc>
        <w:tc>
          <w:tcPr>
            <w:tcW w:w="0" w:type="dxa"/>
            <w:vAlign w:val="bottom"/>
          </w:tcPr>
          <w:p>
            <w:pPr>
              <w:spacing w:after="0"/>
              <w:rPr>
                <w:sz w:val="1"/>
                <w:szCs w:val="1"/>
                <w:color w:val="auto"/>
              </w:rPr>
            </w:pPr>
          </w:p>
        </w:tc>
      </w:tr>
      <w:tr>
        <w:trPr>
          <w:trHeight w:val="244"/>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1E1E1E"/>
              </w:rPr>
              <w:t>Aurora</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2,000.1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1E1E1E"/>
              </w:rPr>
              <w:t>(1,734.0)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266.1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2,002.7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1E1E1E"/>
              </w:rPr>
              <w:t>(1,734.0)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268.7</w:t>
            </w:r>
          </w:p>
        </w:tc>
        <w:tc>
          <w:tcPr>
            <w:tcW w:w="0" w:type="dxa"/>
            <w:vAlign w:val="bottom"/>
          </w:tcPr>
          <w:p>
            <w:pPr>
              <w:spacing w:after="0"/>
              <w:rPr>
                <w:sz w:val="1"/>
                <w:szCs w:val="1"/>
                <w:color w:val="auto"/>
              </w:rPr>
            </w:pPr>
          </w:p>
        </w:tc>
      </w:tr>
      <w:tr>
        <w:trPr>
          <w:trHeight w:val="20"/>
        </w:trPr>
        <w:tc>
          <w:tcPr>
            <w:tcW w:w="136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w:t>
            </w:r>
          </w:p>
        </w:tc>
        <w:tc>
          <w:tcPr>
            <w:tcW w:w="280" w:type="dxa"/>
            <w:vAlign w:val="bottom"/>
            <w:shd w:val="clear" w:color="auto" w:fill="1E1E1E"/>
          </w:tcPr>
          <w:p>
            <w:pPr>
              <w:spacing w:after="0" w:line="20" w:lineRule="exact"/>
              <w:rPr>
                <w:sz w:val="1"/>
                <w:szCs w:val="1"/>
                <w:color w:val="auto"/>
              </w:rPr>
            </w:pPr>
          </w:p>
        </w:tc>
        <w:tc>
          <w:tcPr>
            <w:tcW w:w="1220" w:type="dxa"/>
            <w:vAlign w:val="bottom"/>
            <w:tcBorders>
              <w:right w:val="single" w:sz="8" w:color="E1E1E1"/>
            </w:tcBorders>
            <w:shd w:val="clear" w:color="auto" w:fill="1E1E1E"/>
          </w:tcPr>
          <w:p>
            <w:pPr>
              <w:spacing w:after="0" w:line="20" w:lineRule="exact"/>
              <w:rPr>
                <w:sz w:val="1"/>
                <w:szCs w:val="1"/>
                <w:color w:val="auto"/>
              </w:rPr>
            </w:pPr>
          </w:p>
        </w:tc>
        <w:tc>
          <w:tcPr>
            <w:tcW w:w="240" w:type="dxa"/>
            <w:vAlign w:val="bottom"/>
            <w:vMerge w:val="restart"/>
            <w:shd w:val="clear" w:color="auto" w:fill="E1E1E1"/>
          </w:tcPr>
          <w:p>
            <w:pPr>
              <w:spacing w:after="0" w:line="20" w:lineRule="exact"/>
              <w:rPr>
                <w:sz w:val="1"/>
                <w:szCs w:val="1"/>
                <w:color w:val="auto"/>
              </w:rPr>
            </w:pPr>
          </w:p>
        </w:tc>
        <w:tc>
          <w:tcPr>
            <w:tcW w:w="160" w:type="dxa"/>
            <w:vAlign w:val="bottom"/>
            <w:tcBorders>
              <w:left w:val="single" w:sz="8" w:color="1E1E1E"/>
            </w:tcBorders>
            <w:shd w:val="clear" w:color="auto" w:fill="1E1E1E"/>
          </w:tcPr>
          <w:p>
            <w:pPr>
              <w:spacing w:after="0" w:line="20" w:lineRule="exact"/>
              <w:rPr>
                <w:sz w:val="1"/>
                <w:szCs w:val="1"/>
                <w:color w:val="auto"/>
              </w:rPr>
            </w:pPr>
          </w:p>
        </w:tc>
        <w:tc>
          <w:tcPr>
            <w:tcW w:w="1160" w:type="dxa"/>
            <w:vAlign w:val="bottom"/>
            <w:shd w:val="clear" w:color="auto" w:fill="1E1E1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shd w:val="clear" w:color="auto" w:fill="1E1E1E"/>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760" w:type="dxa"/>
            <w:vAlign w:val="bottom"/>
            <w:tcBorders>
              <w:right w:val="single" w:sz="8" w:color="E1E1E1"/>
            </w:tcBorders>
            <w:shd w:val="clear" w:color="auto" w:fill="1E1E1E"/>
          </w:tcPr>
          <w:p>
            <w:pPr>
              <w:spacing w:after="0" w:line="20" w:lineRule="exact"/>
              <w:rPr>
                <w:sz w:val="1"/>
                <w:szCs w:val="1"/>
                <w:color w:val="auto"/>
              </w:rPr>
            </w:pPr>
          </w:p>
        </w:tc>
        <w:tc>
          <w:tcPr>
            <w:tcW w:w="240" w:type="dxa"/>
            <w:vAlign w:val="bottom"/>
            <w:vMerge w:val="restart"/>
            <w:shd w:val="clear" w:color="auto" w:fill="E1E1E1"/>
          </w:tcPr>
          <w:p>
            <w:pPr>
              <w:spacing w:after="0" w:line="20" w:lineRule="exact"/>
              <w:rPr>
                <w:sz w:val="1"/>
                <w:szCs w:val="1"/>
                <w:color w:val="auto"/>
              </w:rPr>
            </w:pPr>
          </w:p>
        </w:tc>
        <w:tc>
          <w:tcPr>
            <w:tcW w:w="120" w:type="dxa"/>
            <w:vAlign w:val="bottom"/>
            <w:gridSpan w:val="2"/>
            <w:shd w:val="clear" w:color="auto" w:fill="1E1E1E"/>
          </w:tcPr>
          <w:p>
            <w:pPr>
              <w:spacing w:after="0" w:line="20" w:lineRule="exact"/>
              <w:rPr>
                <w:sz w:val="1"/>
                <w:szCs w:val="1"/>
                <w:color w:val="auto"/>
              </w:rPr>
            </w:pPr>
          </w:p>
        </w:tc>
        <w:tc>
          <w:tcPr>
            <w:tcW w:w="840" w:type="dxa"/>
            <w:vAlign w:val="bottom"/>
            <w:tcBorders>
              <w:right w:val="single" w:sz="8" w:color="1E1E1E"/>
            </w:tcBorders>
            <w:shd w:val="clear" w:color="auto" w:fill="1E1E1E"/>
          </w:tcPr>
          <w:p>
            <w:pPr>
              <w:spacing w:after="0" w:line="20" w:lineRule="exact"/>
              <w:rPr>
                <w:sz w:val="1"/>
                <w:szCs w:val="1"/>
                <w:color w:val="auto"/>
              </w:rPr>
            </w:pPr>
          </w:p>
        </w:tc>
        <w:tc>
          <w:tcPr>
            <w:tcW w:w="140" w:type="dxa"/>
            <w:vAlign w:val="bottom"/>
            <w:shd w:val="clear" w:color="auto" w:fill="E1E1E1"/>
          </w:tcPr>
          <w:p>
            <w:pPr>
              <w:spacing w:after="0" w:line="20" w:lineRule="exact"/>
              <w:rPr>
                <w:sz w:val="1"/>
                <w:szCs w:val="1"/>
                <w:color w:val="auto"/>
              </w:rPr>
            </w:pPr>
          </w:p>
        </w:tc>
        <w:tc>
          <w:tcPr>
            <w:tcW w:w="100" w:type="dxa"/>
            <w:vAlign w:val="bottom"/>
            <w:vMerge w:val="restart"/>
            <w:shd w:val="clear" w:color="auto" w:fill="E1E1E1"/>
          </w:tcPr>
          <w:p>
            <w:pPr>
              <w:spacing w:after="0" w:line="20" w:lineRule="exact"/>
              <w:rPr>
                <w:sz w:val="1"/>
                <w:szCs w:val="1"/>
                <w:color w:val="auto"/>
              </w:rPr>
            </w:pPr>
          </w:p>
        </w:tc>
        <w:tc>
          <w:tcPr>
            <w:tcW w:w="160" w:type="dxa"/>
            <w:vAlign w:val="bottom"/>
            <w:tcBorders>
              <w:left w:val="single" w:sz="8" w:color="E1E1E1"/>
            </w:tcBorders>
            <w:shd w:val="clear" w:color="auto" w:fill="1E1E1E"/>
          </w:tcPr>
          <w:p>
            <w:pPr>
              <w:spacing w:after="0" w:line="20" w:lineRule="exact"/>
              <w:rPr>
                <w:sz w:val="1"/>
                <w:szCs w:val="1"/>
                <w:color w:val="auto"/>
              </w:rPr>
            </w:pPr>
          </w:p>
        </w:tc>
        <w:tc>
          <w:tcPr>
            <w:tcW w:w="860" w:type="dxa"/>
            <w:vAlign w:val="bottom"/>
            <w:tcBorders>
              <w:right w:val="single" w:sz="8" w:color="1E1E1E"/>
            </w:tcBorders>
            <w:shd w:val="clear" w:color="auto" w:fill="1E1E1E"/>
          </w:tcPr>
          <w:p>
            <w:pPr>
              <w:spacing w:after="0" w:line="20" w:lineRule="exact"/>
              <w:rPr>
                <w:sz w:val="1"/>
                <w:szCs w:val="1"/>
                <w:color w:val="auto"/>
              </w:rPr>
            </w:pPr>
          </w:p>
        </w:tc>
        <w:tc>
          <w:tcPr>
            <w:tcW w:w="260" w:type="dxa"/>
            <w:vAlign w:val="bottom"/>
            <w:vMerge w:val="restart"/>
            <w:shd w:val="clear" w:color="auto" w:fill="E1E1E1"/>
          </w:tcPr>
          <w:p>
            <w:pPr>
              <w:spacing w:after="0" w:line="20" w:lineRule="exact"/>
              <w:rPr>
                <w:sz w:val="1"/>
                <w:szCs w:val="1"/>
                <w:color w:val="auto"/>
              </w:rPr>
            </w:pPr>
          </w:p>
        </w:tc>
        <w:tc>
          <w:tcPr>
            <w:tcW w:w="120" w:type="dxa"/>
            <w:vAlign w:val="bottom"/>
            <w:tcBorders>
              <w:left w:val="single" w:sz="8" w:color="E1E1E1"/>
            </w:tcBorders>
            <w:shd w:val="clear" w:color="auto" w:fill="1E1E1E"/>
          </w:tcPr>
          <w:p>
            <w:pPr>
              <w:spacing w:after="0" w:line="20" w:lineRule="exact"/>
              <w:rPr>
                <w:sz w:val="1"/>
                <w:szCs w:val="1"/>
                <w:color w:val="auto"/>
              </w:rPr>
            </w:pPr>
          </w:p>
        </w:tc>
        <w:tc>
          <w:tcPr>
            <w:tcW w:w="1020" w:type="dxa"/>
            <w:vAlign w:val="bottom"/>
            <w:shd w:val="clear" w:color="auto" w:fill="1E1E1E"/>
          </w:tcPr>
          <w:p>
            <w:pPr>
              <w:spacing w:after="0" w:line="20" w:lineRule="exact"/>
              <w:rPr>
                <w:sz w:val="1"/>
                <w:szCs w:val="1"/>
                <w:color w:val="auto"/>
              </w:rPr>
            </w:pPr>
          </w:p>
        </w:tc>
        <w:tc>
          <w:tcPr>
            <w:tcW w:w="20" w:type="dxa"/>
            <w:vAlign w:val="bottom"/>
            <w:shd w:val="clear" w:color="auto" w:fill="1E1E1E"/>
          </w:tcPr>
          <w:p>
            <w:pPr>
              <w:spacing w:after="0" w:line="20" w:lineRule="exact"/>
              <w:rPr>
                <w:sz w:val="1"/>
                <w:szCs w:val="1"/>
                <w:color w:val="auto"/>
              </w:rPr>
            </w:pPr>
          </w:p>
        </w:tc>
        <w:tc>
          <w:tcPr>
            <w:tcW w:w="140" w:type="dxa"/>
            <w:vAlign w:val="bottom"/>
            <w:vMerge w:val="restart"/>
            <w:shd w:val="clear" w:color="auto" w:fill="E1E1E1"/>
          </w:tcPr>
          <w:p>
            <w:pPr>
              <w:spacing w:after="0" w:line="20" w:lineRule="exact"/>
              <w:rPr>
                <w:sz w:val="1"/>
                <w:szCs w:val="1"/>
                <w:color w:val="auto"/>
              </w:rPr>
            </w:pPr>
          </w:p>
        </w:tc>
        <w:tc>
          <w:tcPr>
            <w:tcW w:w="100" w:type="dxa"/>
            <w:vAlign w:val="bottom"/>
            <w:vMerge w:val="restart"/>
            <w:shd w:val="clear" w:color="auto" w:fill="E1E1E1"/>
          </w:tcPr>
          <w:p>
            <w:pPr>
              <w:spacing w:after="0" w:line="20" w:lineRule="exact"/>
              <w:rPr>
                <w:sz w:val="1"/>
                <w:szCs w:val="1"/>
                <w:color w:val="auto"/>
              </w:rPr>
            </w:pPr>
          </w:p>
        </w:tc>
        <w:tc>
          <w:tcPr>
            <w:tcW w:w="20" w:type="dxa"/>
            <w:vAlign w:val="bottom"/>
            <w:vMerge w:val="restart"/>
            <w:shd w:val="clear" w:color="auto" w:fill="E1E1E1"/>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840" w:type="dxa"/>
            <w:vAlign w:val="bottom"/>
            <w:tcBorders>
              <w:right w:val="single" w:sz="8" w:color="1E1E1E"/>
            </w:tcBorders>
            <w:shd w:val="clear" w:color="auto" w:fill="1E1E1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360" w:type="dxa"/>
            <w:vAlign w:val="bottom"/>
            <w:vMerge w:val="continue"/>
            <w:shd w:val="clear" w:color="auto" w:fill="E1E1E1"/>
          </w:tcPr>
          <w:p>
            <w:pPr>
              <w:spacing w:after="0"/>
              <w:rPr>
                <w:sz w:val="20"/>
                <w:szCs w:val="20"/>
                <w:color w:val="auto"/>
              </w:rPr>
            </w:pP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2,534.8</w:t>
            </w:r>
          </w:p>
        </w:tc>
        <w:tc>
          <w:tcPr>
            <w:tcW w:w="240" w:type="dxa"/>
            <w:vAlign w:val="bottom"/>
            <w:vMerge w:val="continue"/>
            <w:shd w:val="clear" w:color="auto" w:fill="E1E1E1"/>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1E1E1E"/>
              </w:rPr>
              <w:t>(1,775.2)</w:t>
            </w:r>
          </w:p>
        </w:tc>
        <w:tc>
          <w:tcPr>
            <w:tcW w:w="100" w:type="dxa"/>
            <w:vAlign w:val="bottom"/>
            <w:vMerge w:val="continue"/>
          </w:tcPr>
          <w:p>
            <w:pPr>
              <w:spacing w:after="0"/>
              <w:rPr>
                <w:sz w:val="20"/>
                <w:szCs w:val="20"/>
                <w:color w:val="auto"/>
              </w:rPr>
            </w:pPr>
          </w:p>
        </w:tc>
        <w:tc>
          <w:tcPr>
            <w:tcW w:w="200" w:type="dxa"/>
            <w:vAlign w:val="bottom"/>
            <w:gridSpan w:val="2"/>
            <w:shd w:val="clear" w:color="auto" w:fill="E1E1E1"/>
          </w:tcPr>
          <w:p>
            <w:pPr>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759.6</w:t>
            </w:r>
          </w:p>
        </w:tc>
        <w:tc>
          <w:tcPr>
            <w:tcW w:w="240" w:type="dxa"/>
            <w:vAlign w:val="bottom"/>
            <w:vMerge w:val="continue"/>
            <w:shd w:val="clear" w:color="auto" w:fill="E1E1E1"/>
          </w:tcPr>
          <w:p>
            <w:pPr>
              <w:spacing w:after="0"/>
              <w:rPr>
                <w:sz w:val="20"/>
                <w:szCs w:val="20"/>
                <w:color w:val="auto"/>
              </w:rPr>
            </w:pPr>
          </w:p>
        </w:tc>
        <w:tc>
          <w:tcPr>
            <w:tcW w:w="120" w:type="dxa"/>
            <w:vAlign w:val="bottom"/>
            <w:gridSpan w:val="2"/>
            <w:shd w:val="clear" w:color="auto" w:fill="E1E1E1"/>
          </w:tcPr>
          <w:p>
            <w:pPr>
              <w:spacing w:after="0"/>
              <w:rPr>
                <w:sz w:val="20"/>
                <w:szCs w:val="20"/>
                <w:color w:val="auto"/>
              </w:rPr>
            </w:pPr>
            <w:r>
              <w:rPr>
                <w:rFonts w:ascii="Times New Roman" w:cs="Times New Roman" w:eastAsia="Times New Roman" w:hAnsi="Times New Roman"/>
                <w:sz w:val="20"/>
                <w:szCs w:val="20"/>
                <w:color w:val="1E1E1E"/>
                <w:w w:val="99"/>
                <w:shd w:val="clear" w:color="auto" w:fill="E1E1E1"/>
              </w:rPr>
              <w:t>$</w:t>
            </w:r>
          </w:p>
        </w:tc>
        <w:tc>
          <w:tcPr>
            <w:tcW w:w="84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140" w:type="dxa"/>
            <w:vAlign w:val="bottom"/>
            <w:shd w:val="clear" w:color="auto" w:fill="E1E1E1"/>
          </w:tcPr>
          <w:p>
            <w:pPr>
              <w:spacing w:after="0"/>
              <w:rPr>
                <w:sz w:val="20"/>
                <w:szCs w:val="20"/>
                <w:color w:val="auto"/>
              </w:rPr>
            </w:pPr>
          </w:p>
        </w:tc>
        <w:tc>
          <w:tcPr>
            <w:tcW w:w="100" w:type="dxa"/>
            <w:vAlign w:val="bottom"/>
            <w:vMerge w:val="continue"/>
            <w:shd w:val="clear" w:color="auto" w:fill="E1E1E1"/>
          </w:tcPr>
          <w:p>
            <w:pPr>
              <w:spacing w:after="0"/>
              <w:rPr>
                <w:sz w:val="20"/>
                <w:szCs w:val="20"/>
                <w:color w:val="auto"/>
              </w:rPr>
            </w:pPr>
          </w:p>
        </w:tc>
        <w:tc>
          <w:tcPr>
            <w:tcW w:w="160" w:type="dxa"/>
            <w:vAlign w:val="bottom"/>
            <w:tcBorders>
              <w:lef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1E1E1"/>
              </w:rPr>
              <w:t>$</w:t>
            </w:r>
          </w:p>
        </w:tc>
        <w:tc>
          <w:tcPr>
            <w:tcW w:w="86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2,539.8</w:t>
            </w:r>
          </w:p>
        </w:tc>
        <w:tc>
          <w:tcPr>
            <w:tcW w:w="260" w:type="dxa"/>
            <w:vAlign w:val="bottom"/>
            <w:vMerge w:val="continue"/>
            <w:shd w:val="clear" w:color="auto" w:fill="E1E1E1"/>
          </w:tcPr>
          <w:p>
            <w:pPr>
              <w:spacing w:after="0"/>
              <w:rPr>
                <w:sz w:val="20"/>
                <w:szCs w:val="20"/>
                <w:color w:val="auto"/>
              </w:rPr>
            </w:pPr>
          </w:p>
        </w:tc>
        <w:tc>
          <w:tcPr>
            <w:tcW w:w="120" w:type="dxa"/>
            <w:vAlign w:val="bottom"/>
            <w:tcBorders>
              <w:lef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(1,775.2)</w:t>
            </w:r>
          </w:p>
        </w:tc>
        <w:tc>
          <w:tcPr>
            <w:tcW w:w="140" w:type="dxa"/>
            <w:vAlign w:val="bottom"/>
            <w:vMerge w:val="continue"/>
            <w:shd w:val="clear" w:color="auto" w:fill="E1E1E1"/>
          </w:tcPr>
          <w:p>
            <w:pPr>
              <w:spacing w:after="0"/>
              <w:rPr>
                <w:sz w:val="20"/>
                <w:szCs w:val="20"/>
                <w:color w:val="auto"/>
              </w:rPr>
            </w:pPr>
          </w:p>
        </w:tc>
        <w:tc>
          <w:tcPr>
            <w:tcW w:w="100" w:type="dxa"/>
            <w:vAlign w:val="bottom"/>
            <w:vMerge w:val="continue"/>
            <w:shd w:val="clear" w:color="auto" w:fill="E1E1E1"/>
          </w:tcPr>
          <w:p>
            <w:pPr>
              <w:spacing w:after="0"/>
              <w:rPr>
                <w:sz w:val="20"/>
                <w:szCs w:val="20"/>
                <w:color w:val="auto"/>
              </w:rPr>
            </w:pPr>
          </w:p>
        </w:tc>
        <w:tc>
          <w:tcPr>
            <w:tcW w:w="20" w:type="dxa"/>
            <w:vAlign w:val="bottom"/>
            <w:vMerge w:val="continue"/>
            <w:shd w:val="clear" w:color="auto" w:fill="E1E1E1"/>
          </w:tcPr>
          <w:p>
            <w:pPr>
              <w:spacing w:after="0"/>
              <w:rPr>
                <w:sz w:val="20"/>
                <w:szCs w:val="20"/>
                <w:color w:val="auto"/>
              </w:rPr>
            </w:pPr>
          </w:p>
        </w:tc>
        <w:tc>
          <w:tcPr>
            <w:tcW w:w="180" w:type="dxa"/>
            <w:vAlign w:val="bottom"/>
            <w:shd w:val="clear" w:color="auto" w:fill="E1E1E1"/>
          </w:tcPr>
          <w:p>
            <w:pPr>
              <w:jc w:val="right"/>
              <w:ind w:right="15"/>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764.6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122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gridSpan w:val="5"/>
          </w:tcPr>
          <w:p>
            <w:pPr>
              <w:jc w:val="right"/>
              <w:ind w:right="460"/>
              <w:spacing w:after="0"/>
              <w:rPr>
                <w:sz w:val="20"/>
                <w:szCs w:val="20"/>
                <w:color w:val="auto"/>
              </w:rPr>
            </w:pPr>
            <w:r>
              <w:rPr>
                <w:rFonts w:ascii="Times New Roman" w:cs="Times New Roman" w:eastAsia="Times New Roman" w:hAnsi="Times New Roman"/>
                <w:sz w:val="15"/>
                <w:szCs w:val="15"/>
                <w:b w:val="1"/>
                <w:bCs w:val="1"/>
                <w:color w:val="1E1E1E"/>
                <w:w w:val="99"/>
              </w:rPr>
              <w:t>December, 31, 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1E1E1E"/>
                <w:w w:val="98"/>
              </w:rPr>
              <w:t>Activity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1E1E1E"/>
                <w:w w:val="98"/>
              </w:rPr>
              <w:t>December 31, 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280" w:type="dxa"/>
            <w:vAlign w:val="bottom"/>
            <w:tcBorders>
              <w:top w:val="single" w:sz="8" w:color="1E1E1E"/>
            </w:tcBorders>
          </w:tcPr>
          <w:p>
            <w:pPr>
              <w:spacing w:after="0"/>
              <w:rPr>
                <w:sz w:val="14"/>
                <w:szCs w:val="14"/>
                <w:color w:val="auto"/>
              </w:rPr>
            </w:pPr>
          </w:p>
        </w:tc>
        <w:tc>
          <w:tcPr>
            <w:tcW w:w="1220" w:type="dxa"/>
            <w:vAlign w:val="bottom"/>
            <w:tcBorders>
              <w:top w:val="single" w:sz="8" w:color="1E1E1E"/>
            </w:tcBorders>
          </w:tcPr>
          <w:p>
            <w:pPr>
              <w:spacing w:after="0"/>
              <w:rPr>
                <w:sz w:val="14"/>
                <w:szCs w:val="14"/>
                <w:color w:val="auto"/>
              </w:rPr>
            </w:pPr>
          </w:p>
        </w:tc>
        <w:tc>
          <w:tcPr>
            <w:tcW w:w="240" w:type="dxa"/>
            <w:vAlign w:val="bottom"/>
            <w:tcBorders>
              <w:top w:val="single" w:sz="8" w:color="1E1E1E"/>
            </w:tcBorders>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1320" w:type="dxa"/>
            <w:vAlign w:val="bottom"/>
            <w:tcBorders>
              <w:top w:val="single" w:sz="8" w:color="1E1E1E"/>
            </w:tcBorders>
            <w:gridSpan w:val="3"/>
            <w:vMerge w:val="restart"/>
          </w:tcPr>
          <w:p>
            <w:pPr>
              <w:jc w:val="center"/>
              <w:ind w:right="340"/>
              <w:spacing w:after="0"/>
              <w:rPr>
                <w:sz w:val="20"/>
                <w:szCs w:val="20"/>
                <w:color w:val="auto"/>
              </w:rPr>
            </w:pPr>
            <w:r>
              <w:rPr>
                <w:rFonts w:ascii="Times New Roman" w:cs="Times New Roman" w:eastAsia="Times New Roman" w:hAnsi="Times New Roman"/>
                <w:sz w:val="15"/>
                <w:szCs w:val="15"/>
                <w:b w:val="1"/>
                <w:bCs w:val="1"/>
                <w:color w:val="1E1E1E"/>
              </w:rPr>
              <w:t>Accumulated</w:t>
            </w:r>
          </w:p>
        </w:tc>
        <w:tc>
          <w:tcPr>
            <w:tcW w:w="100" w:type="dxa"/>
            <w:vAlign w:val="bottom"/>
            <w:tcBorders>
              <w:top w:val="single" w:sz="8" w:color="1E1E1E"/>
            </w:tcBorders>
          </w:tcPr>
          <w:p>
            <w:pPr>
              <w:spacing w:after="0"/>
              <w:rPr>
                <w:sz w:val="14"/>
                <w:szCs w:val="14"/>
                <w:color w:val="auto"/>
              </w:rPr>
            </w:pPr>
          </w:p>
        </w:tc>
        <w:tc>
          <w:tcPr>
            <w:tcW w:w="20" w:type="dxa"/>
            <w:vAlign w:val="bottom"/>
            <w:tcBorders>
              <w:top w:val="single" w:sz="8" w:color="1E1E1E"/>
            </w:tcBorders>
          </w:tcPr>
          <w:p>
            <w:pPr>
              <w:spacing w:after="0"/>
              <w:rPr>
                <w:sz w:val="14"/>
                <w:szCs w:val="14"/>
                <w:color w:val="auto"/>
              </w:rPr>
            </w:pPr>
          </w:p>
        </w:tc>
        <w:tc>
          <w:tcPr>
            <w:tcW w:w="180" w:type="dxa"/>
            <w:vAlign w:val="bottom"/>
            <w:tcBorders>
              <w:top w:val="single" w:sz="8" w:color="1E1E1E"/>
            </w:tcBorders>
          </w:tcPr>
          <w:p>
            <w:pPr>
              <w:spacing w:after="0"/>
              <w:rPr>
                <w:sz w:val="14"/>
                <w:szCs w:val="14"/>
                <w:color w:val="auto"/>
              </w:rPr>
            </w:pPr>
          </w:p>
        </w:tc>
        <w:tc>
          <w:tcPr>
            <w:tcW w:w="760" w:type="dxa"/>
            <w:vAlign w:val="bottom"/>
            <w:tcBorders>
              <w:top w:val="single" w:sz="8" w:color="1E1E1E"/>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jc w:val="center"/>
              <w:ind w:right="53"/>
              <w:spacing w:after="0" w:line="163" w:lineRule="exact"/>
              <w:rPr>
                <w:sz w:val="20"/>
                <w:szCs w:val="20"/>
                <w:color w:val="auto"/>
              </w:rPr>
            </w:pPr>
            <w:r>
              <w:rPr>
                <w:rFonts w:ascii="Times New Roman" w:cs="Times New Roman" w:eastAsia="Times New Roman" w:hAnsi="Times New Roman"/>
                <w:sz w:val="15"/>
                <w:szCs w:val="15"/>
                <w:b w:val="1"/>
                <w:bCs w:val="1"/>
                <w:color w:val="1E1E1E"/>
                <w:w w:val="99"/>
              </w:rPr>
              <w:t>Foreign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860" w:type="dxa"/>
            <w:vAlign w:val="bottom"/>
            <w:tcBorders>
              <w:top w:val="single" w:sz="8" w:color="1E1E1E"/>
            </w:tcBorders>
          </w:tcPr>
          <w:p>
            <w:pPr>
              <w:spacing w:after="0"/>
              <w:rPr>
                <w:sz w:val="14"/>
                <w:szCs w:val="14"/>
                <w:color w:val="auto"/>
              </w:rPr>
            </w:pPr>
          </w:p>
        </w:tc>
        <w:tc>
          <w:tcPr>
            <w:tcW w:w="260" w:type="dxa"/>
            <w:vAlign w:val="bottom"/>
            <w:tcBorders>
              <w:top w:val="single" w:sz="8" w:color="1E1E1E"/>
            </w:tcBorders>
          </w:tcPr>
          <w:p>
            <w:pPr>
              <w:spacing w:after="0"/>
              <w:rPr>
                <w:sz w:val="14"/>
                <w:szCs w:val="14"/>
                <w:color w:val="auto"/>
              </w:rPr>
            </w:pPr>
          </w:p>
        </w:tc>
        <w:tc>
          <w:tcPr>
            <w:tcW w:w="120" w:type="dxa"/>
            <w:vAlign w:val="bottom"/>
            <w:tcBorders>
              <w:top w:val="single" w:sz="8" w:color="1E1E1E"/>
            </w:tcBorders>
          </w:tcPr>
          <w:p>
            <w:pPr>
              <w:spacing w:after="0"/>
              <w:rPr>
                <w:sz w:val="14"/>
                <w:szCs w:val="14"/>
                <w:color w:val="auto"/>
              </w:rPr>
            </w:pPr>
          </w:p>
        </w:tc>
        <w:tc>
          <w:tcPr>
            <w:tcW w:w="1180" w:type="dxa"/>
            <w:vAlign w:val="bottom"/>
            <w:tcBorders>
              <w:top w:val="single" w:sz="8" w:color="1E1E1E"/>
            </w:tcBorders>
            <w:gridSpan w:val="3"/>
          </w:tcPr>
          <w:p>
            <w:pPr>
              <w:jc w:val="center"/>
              <w:ind w:right="300"/>
              <w:spacing w:after="0" w:line="163" w:lineRule="exact"/>
              <w:rPr>
                <w:sz w:val="20"/>
                <w:szCs w:val="20"/>
                <w:color w:val="auto"/>
              </w:rPr>
            </w:pPr>
            <w:r>
              <w:rPr>
                <w:rFonts w:ascii="Times New Roman" w:cs="Times New Roman" w:eastAsia="Times New Roman" w:hAnsi="Times New Roman"/>
                <w:sz w:val="15"/>
                <w:szCs w:val="15"/>
                <w:b w:val="1"/>
                <w:bCs w:val="1"/>
                <w:color w:val="1E1E1E"/>
                <w:w w:val="98"/>
              </w:rPr>
              <w:t>Accumulated</w:t>
            </w:r>
          </w:p>
        </w:tc>
        <w:tc>
          <w:tcPr>
            <w:tcW w:w="100" w:type="dxa"/>
            <w:vAlign w:val="bottom"/>
            <w:tcBorders>
              <w:top w:val="single" w:sz="8" w:color="1E1E1E"/>
            </w:tcBorders>
          </w:tcPr>
          <w:p>
            <w:pPr>
              <w:spacing w:after="0"/>
              <w:rPr>
                <w:sz w:val="14"/>
                <w:szCs w:val="14"/>
                <w:color w:val="auto"/>
              </w:rPr>
            </w:pPr>
          </w:p>
        </w:tc>
        <w:tc>
          <w:tcPr>
            <w:tcW w:w="20" w:type="dxa"/>
            <w:vAlign w:val="bottom"/>
            <w:tcBorders>
              <w:top w:val="single" w:sz="8" w:color="1E1E1E"/>
            </w:tcBorders>
          </w:tcPr>
          <w:p>
            <w:pPr>
              <w:spacing w:after="0"/>
              <w:rPr>
                <w:sz w:val="14"/>
                <w:szCs w:val="14"/>
                <w:color w:val="auto"/>
              </w:rPr>
            </w:pPr>
          </w:p>
        </w:tc>
        <w:tc>
          <w:tcPr>
            <w:tcW w:w="18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1E1E1E"/>
              </w:rPr>
              <w:t>Exchange and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1E1E1E"/>
                <w:w w:val="98"/>
              </w:rPr>
              <w:t>Impairment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360" w:type="dxa"/>
            <w:vAlign w:val="bottom"/>
            <w:tcBorders>
              <w:bottom w:val="single" w:sz="8" w:color="E1E1E1"/>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1220" w:type="dxa"/>
            <w:vAlign w:val="bottom"/>
            <w:tcBorders>
              <w:bottom w:val="single" w:sz="8" w:color="1E1E1E"/>
            </w:tcBorders>
          </w:tcPr>
          <w:p>
            <w:pPr>
              <w:jc w:val="right"/>
              <w:ind w:right="386"/>
              <w:spacing w:after="0"/>
              <w:rPr>
                <w:sz w:val="20"/>
                <w:szCs w:val="20"/>
                <w:color w:val="auto"/>
              </w:rPr>
            </w:pPr>
            <w:r>
              <w:rPr>
                <w:rFonts w:ascii="Times New Roman" w:cs="Times New Roman" w:eastAsia="Times New Roman" w:hAnsi="Times New Roman"/>
                <w:sz w:val="15"/>
                <w:szCs w:val="15"/>
                <w:b w:val="1"/>
                <w:bCs w:val="1"/>
                <w:color w:val="1E1E1E"/>
              </w:rPr>
              <w:t>Goodwill</w:t>
            </w:r>
          </w:p>
        </w:tc>
        <w:tc>
          <w:tcPr>
            <w:tcW w:w="240" w:type="dxa"/>
            <w:vAlign w:val="bottom"/>
            <w:tcBorders>
              <w:bottom w:val="single" w:sz="8" w:color="E1E1E1"/>
            </w:tcBorders>
          </w:tcPr>
          <w:p>
            <w:pPr>
              <w:spacing w:after="0"/>
              <w:rPr>
                <w:sz w:val="16"/>
                <w:szCs w:val="16"/>
                <w:color w:val="auto"/>
              </w:rPr>
            </w:pPr>
          </w:p>
        </w:tc>
        <w:tc>
          <w:tcPr>
            <w:tcW w:w="1340" w:type="dxa"/>
            <w:vAlign w:val="bottom"/>
            <w:tcBorders>
              <w:bottom w:val="single" w:sz="8" w:color="1E1E1E"/>
            </w:tcBorders>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1E1E1E"/>
                <w:w w:val="99"/>
              </w:rPr>
              <w:t>Impairment Losses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760" w:type="dxa"/>
            <w:vAlign w:val="bottom"/>
            <w:tcBorders>
              <w:bottom w:val="single" w:sz="8" w:color="1E1E1E"/>
            </w:tcBorders>
          </w:tcPr>
          <w:p>
            <w:pPr>
              <w:jc w:val="right"/>
              <w:ind w:right="226"/>
              <w:spacing w:after="0"/>
              <w:rPr>
                <w:sz w:val="20"/>
                <w:szCs w:val="20"/>
                <w:color w:val="auto"/>
              </w:rPr>
            </w:pPr>
            <w:r>
              <w:rPr>
                <w:rFonts w:ascii="Times New Roman" w:cs="Times New Roman" w:eastAsia="Times New Roman" w:hAnsi="Times New Roman"/>
                <w:sz w:val="15"/>
                <w:szCs w:val="15"/>
                <w:b w:val="1"/>
                <w:bCs w:val="1"/>
                <w:color w:val="1E1E1E"/>
              </w:rPr>
              <w:t>Total</w:t>
            </w:r>
          </w:p>
        </w:tc>
        <w:tc>
          <w:tcPr>
            <w:tcW w:w="240" w:type="dxa"/>
            <w:vAlign w:val="bottom"/>
            <w:tcBorders>
              <w:bottom w:val="single" w:sz="8" w:color="E1E1E1"/>
            </w:tcBorders>
          </w:tcPr>
          <w:p>
            <w:pPr>
              <w:spacing w:after="0"/>
              <w:rPr>
                <w:sz w:val="16"/>
                <w:szCs w:val="16"/>
                <w:color w:val="auto"/>
              </w:rPr>
            </w:pPr>
          </w:p>
        </w:tc>
        <w:tc>
          <w:tcPr>
            <w:tcW w:w="20" w:type="dxa"/>
            <w:vAlign w:val="bottom"/>
            <w:tcBorders>
              <w:bottom w:val="single" w:sz="8" w:color="E1E1E1"/>
            </w:tcBorders>
          </w:tcPr>
          <w:p>
            <w:pPr>
              <w:spacing w:after="0"/>
              <w:rPr>
                <w:sz w:val="16"/>
                <w:szCs w:val="16"/>
                <w:color w:val="auto"/>
              </w:rPr>
            </w:pPr>
          </w:p>
        </w:tc>
        <w:tc>
          <w:tcPr>
            <w:tcW w:w="1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center"/>
              <w:ind w:right="53"/>
              <w:spacing w:after="0"/>
              <w:rPr>
                <w:sz w:val="20"/>
                <w:szCs w:val="20"/>
                <w:color w:val="auto"/>
              </w:rPr>
            </w:pPr>
            <w:r>
              <w:rPr>
                <w:rFonts w:ascii="Times New Roman" w:cs="Times New Roman" w:eastAsia="Times New Roman" w:hAnsi="Times New Roman"/>
                <w:sz w:val="15"/>
                <w:szCs w:val="15"/>
                <w:b w:val="1"/>
                <w:bCs w:val="1"/>
                <w:color w:val="1E1E1E"/>
                <w:w w:val="99"/>
              </w:rPr>
              <w:t>Other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146"/>
              <w:spacing w:after="0"/>
              <w:rPr>
                <w:sz w:val="20"/>
                <w:szCs w:val="20"/>
                <w:color w:val="auto"/>
              </w:rPr>
            </w:pPr>
            <w:r>
              <w:rPr>
                <w:rFonts w:ascii="Times New Roman" w:cs="Times New Roman" w:eastAsia="Times New Roman" w:hAnsi="Times New Roman"/>
                <w:sz w:val="15"/>
                <w:szCs w:val="15"/>
                <w:b w:val="1"/>
                <w:bCs w:val="1"/>
                <w:color w:val="1E1E1E"/>
              </w:rPr>
              <w:t>Goodwill</w:t>
            </w:r>
          </w:p>
        </w:tc>
        <w:tc>
          <w:tcPr>
            <w:tcW w:w="260" w:type="dxa"/>
            <w:vAlign w:val="bottom"/>
            <w:tcBorders>
              <w:bottom w:val="single" w:sz="8" w:color="E1E1E1"/>
            </w:tcBorders>
          </w:tcPr>
          <w:p>
            <w:pPr>
              <w:spacing w:after="0"/>
              <w:rPr>
                <w:sz w:val="16"/>
                <w:szCs w:val="16"/>
                <w:color w:val="auto"/>
              </w:rPr>
            </w:pPr>
          </w:p>
        </w:tc>
        <w:tc>
          <w:tcPr>
            <w:tcW w:w="120" w:type="dxa"/>
            <w:vAlign w:val="bottom"/>
            <w:tcBorders>
              <w:bottom w:val="single" w:sz="8" w:color="1E1E1E"/>
            </w:tcBorders>
          </w:tcPr>
          <w:p>
            <w:pPr>
              <w:spacing w:after="0"/>
              <w:rPr>
                <w:sz w:val="16"/>
                <w:szCs w:val="16"/>
                <w:color w:val="auto"/>
              </w:rPr>
            </w:pPr>
          </w:p>
        </w:tc>
        <w:tc>
          <w:tcPr>
            <w:tcW w:w="1020" w:type="dxa"/>
            <w:vAlign w:val="bottom"/>
            <w:tcBorders>
              <w:bottom w:val="single" w:sz="8" w:color="1E1E1E"/>
            </w:tcBorders>
          </w:tcPr>
          <w:p>
            <w:pPr>
              <w:jc w:val="center"/>
              <w:ind w:right="53"/>
              <w:spacing w:after="0"/>
              <w:rPr>
                <w:sz w:val="20"/>
                <w:szCs w:val="20"/>
                <w:color w:val="auto"/>
              </w:rPr>
            </w:pPr>
            <w:r>
              <w:rPr>
                <w:rFonts w:ascii="Times New Roman" w:cs="Times New Roman" w:eastAsia="Times New Roman" w:hAnsi="Times New Roman"/>
                <w:sz w:val="15"/>
                <w:szCs w:val="15"/>
                <w:b w:val="1"/>
                <w:bCs w:val="1"/>
                <w:color w:val="1E1E1E"/>
                <w:w w:val="95"/>
              </w:rPr>
              <w:t>Losses</w:t>
            </w:r>
          </w:p>
        </w:tc>
        <w:tc>
          <w:tcPr>
            <w:tcW w:w="1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1E1E1E"/>
              </w:rPr>
              <w:t>Total</w:t>
            </w:r>
          </w:p>
        </w:tc>
        <w:tc>
          <w:tcPr>
            <w:tcW w:w="0" w:type="dxa"/>
            <w:vAlign w:val="bottom"/>
          </w:tcPr>
          <w:p>
            <w:pPr>
              <w:spacing w:after="0"/>
              <w:rPr>
                <w:sz w:val="1"/>
                <w:szCs w:val="1"/>
                <w:color w:val="auto"/>
              </w:rPr>
            </w:pPr>
          </w:p>
        </w:tc>
      </w:tr>
      <w:tr>
        <w:trPr>
          <w:trHeight w:val="239"/>
        </w:trPr>
        <w:tc>
          <w:tcPr>
            <w:tcW w:w="13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RUCKUS</w:t>
            </w: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537.1</w:t>
            </w:r>
          </w:p>
        </w:tc>
        <w:tc>
          <w:tcPr>
            <w:tcW w:w="240" w:type="dxa"/>
            <w:vAlign w:val="bottom"/>
            <w:shd w:val="clear" w:color="auto" w:fill="E1E1E1"/>
          </w:tcPr>
          <w:p>
            <w:pPr>
              <w:spacing w:after="0"/>
              <w:rPr>
                <w:sz w:val="20"/>
                <w:szCs w:val="20"/>
                <w:color w:val="auto"/>
              </w:rPr>
            </w:pPr>
          </w:p>
        </w:tc>
        <w:tc>
          <w:tcPr>
            <w:tcW w:w="160" w:type="dxa"/>
            <w:vAlign w:val="bottom"/>
            <w:tcBorders>
              <w:left w:val="single" w:sz="8" w:color="E1E1E1"/>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1E1E1E"/>
              </w:rPr>
              <w:t>(41.2)</w:t>
            </w:r>
          </w:p>
        </w:tc>
        <w:tc>
          <w:tcPr>
            <w:tcW w:w="120" w:type="dxa"/>
            <w:vAlign w:val="bottom"/>
            <w:gridSpan w:val="2"/>
          </w:tcPr>
          <w:p>
            <w:pPr>
              <w:spacing w:after="0"/>
              <w:rPr>
                <w:sz w:val="20"/>
                <w:szCs w:val="20"/>
                <w:color w:val="auto"/>
              </w:rPr>
            </w:pPr>
          </w:p>
        </w:tc>
        <w:tc>
          <w:tcPr>
            <w:tcW w:w="1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495.9</w:t>
            </w:r>
          </w:p>
        </w:tc>
        <w:tc>
          <w:tcPr>
            <w:tcW w:w="260" w:type="dxa"/>
            <w:vAlign w:val="bottom"/>
            <w:gridSpan w:val="2"/>
            <w:shd w:val="clear" w:color="auto" w:fill="E1E1E1"/>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(2.4)</w:t>
            </w:r>
          </w:p>
        </w:tc>
        <w:tc>
          <w:tcPr>
            <w:tcW w:w="100" w:type="dxa"/>
            <w:vAlign w:val="bottom"/>
          </w:tcPr>
          <w:p>
            <w:pPr>
              <w:spacing w:after="0"/>
              <w:rPr>
                <w:sz w:val="20"/>
                <w:szCs w:val="20"/>
                <w:color w:val="auto"/>
              </w:rPr>
            </w:pPr>
          </w:p>
        </w:tc>
        <w:tc>
          <w:tcPr>
            <w:tcW w:w="160" w:type="dxa"/>
            <w:vAlign w:val="bottom"/>
            <w:tcBorders>
              <w:lef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534.7</w:t>
            </w:r>
          </w:p>
        </w:tc>
        <w:tc>
          <w:tcPr>
            <w:tcW w:w="260" w:type="dxa"/>
            <w:vAlign w:val="bottom"/>
            <w:shd w:val="clear" w:color="auto" w:fill="E1E1E1"/>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1E1E1E"/>
              </w:rPr>
              <w:t>(41.2)</w:t>
            </w:r>
          </w:p>
        </w:tc>
        <w:tc>
          <w:tcPr>
            <w:tcW w:w="100" w:type="dxa"/>
            <w:vAlign w:val="bottom"/>
          </w:tcPr>
          <w:p>
            <w:pPr>
              <w:spacing w:after="0"/>
              <w:rPr>
                <w:sz w:val="20"/>
                <w:szCs w:val="20"/>
                <w:color w:val="auto"/>
              </w:rPr>
            </w:pPr>
          </w:p>
        </w:tc>
        <w:tc>
          <w:tcPr>
            <w:tcW w:w="200" w:type="dxa"/>
            <w:vAlign w:val="bottom"/>
            <w:gridSpan w:val="2"/>
            <w:shd w:val="clear" w:color="auto" w:fill="E1E1E1"/>
          </w:tcPr>
          <w:p>
            <w:pPr>
              <w:jc w:val="right"/>
              <w:ind w:right="15"/>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493.5</w:t>
            </w:r>
          </w:p>
        </w:tc>
        <w:tc>
          <w:tcPr>
            <w:tcW w:w="0" w:type="dxa"/>
            <w:vAlign w:val="bottom"/>
          </w:tcPr>
          <w:p>
            <w:pPr>
              <w:spacing w:after="0"/>
              <w:rPr>
                <w:sz w:val="1"/>
                <w:szCs w:val="1"/>
                <w:color w:val="auto"/>
              </w:rPr>
            </w:pPr>
          </w:p>
        </w:tc>
      </w:tr>
      <w:tr>
        <w:trPr>
          <w:trHeight w:val="244"/>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1E1E1E"/>
              </w:rPr>
              <w:t>Aurora</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1,995.4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1E1E1E"/>
              </w:rPr>
              <w:t>(1,734.0)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261.4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2,000.1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1E1E1E"/>
              </w:rPr>
              <w:t>(1,734.0)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266.1</w:t>
            </w:r>
          </w:p>
        </w:tc>
        <w:tc>
          <w:tcPr>
            <w:tcW w:w="0" w:type="dxa"/>
            <w:vAlign w:val="bottom"/>
          </w:tcPr>
          <w:p>
            <w:pPr>
              <w:spacing w:after="0"/>
              <w:rPr>
                <w:sz w:val="1"/>
                <w:szCs w:val="1"/>
                <w:color w:val="auto"/>
              </w:rPr>
            </w:pPr>
          </w:p>
        </w:tc>
      </w:tr>
      <w:tr>
        <w:trPr>
          <w:trHeight w:val="20"/>
        </w:trPr>
        <w:tc>
          <w:tcPr>
            <w:tcW w:w="136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w:t>
            </w:r>
          </w:p>
        </w:tc>
        <w:tc>
          <w:tcPr>
            <w:tcW w:w="280" w:type="dxa"/>
            <w:vAlign w:val="bottom"/>
            <w:shd w:val="clear" w:color="auto" w:fill="1E1E1E"/>
          </w:tcPr>
          <w:p>
            <w:pPr>
              <w:spacing w:after="0" w:line="20" w:lineRule="exact"/>
              <w:rPr>
                <w:sz w:val="1"/>
                <w:szCs w:val="1"/>
                <w:color w:val="auto"/>
              </w:rPr>
            </w:pPr>
          </w:p>
        </w:tc>
        <w:tc>
          <w:tcPr>
            <w:tcW w:w="1220" w:type="dxa"/>
            <w:vAlign w:val="bottom"/>
            <w:tcBorders>
              <w:right w:val="single" w:sz="8" w:color="1E1E1E"/>
            </w:tcBorders>
            <w:shd w:val="clear" w:color="auto" w:fill="1E1E1E"/>
          </w:tcPr>
          <w:p>
            <w:pPr>
              <w:spacing w:after="0" w:line="20" w:lineRule="exact"/>
              <w:rPr>
                <w:sz w:val="1"/>
                <w:szCs w:val="1"/>
                <w:color w:val="auto"/>
              </w:rPr>
            </w:pPr>
          </w:p>
        </w:tc>
        <w:tc>
          <w:tcPr>
            <w:tcW w:w="240" w:type="dxa"/>
            <w:vAlign w:val="bottom"/>
            <w:vMerge w:val="restart"/>
            <w:shd w:val="clear" w:color="auto" w:fill="E1E1E1"/>
          </w:tcPr>
          <w:p>
            <w:pPr>
              <w:spacing w:after="0" w:line="20" w:lineRule="exact"/>
              <w:rPr>
                <w:sz w:val="1"/>
                <w:szCs w:val="1"/>
                <w:color w:val="auto"/>
              </w:rPr>
            </w:pPr>
          </w:p>
        </w:tc>
        <w:tc>
          <w:tcPr>
            <w:tcW w:w="160" w:type="dxa"/>
            <w:vAlign w:val="bottom"/>
            <w:tcBorders>
              <w:left w:val="single" w:sz="8" w:color="E1E1E1"/>
            </w:tcBorders>
            <w:shd w:val="clear" w:color="auto" w:fill="1E1E1E"/>
          </w:tcPr>
          <w:p>
            <w:pPr>
              <w:spacing w:after="0" w:line="20" w:lineRule="exact"/>
              <w:rPr>
                <w:sz w:val="1"/>
                <w:szCs w:val="1"/>
                <w:color w:val="auto"/>
              </w:rPr>
            </w:pPr>
          </w:p>
        </w:tc>
        <w:tc>
          <w:tcPr>
            <w:tcW w:w="1180" w:type="dxa"/>
            <w:vAlign w:val="bottom"/>
            <w:gridSpan w:val="2"/>
            <w:shd w:val="clear" w:color="auto" w:fill="1E1E1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80" w:type="dxa"/>
            <w:vAlign w:val="bottom"/>
            <w:shd w:val="clear" w:color="auto" w:fill="1E1E1E"/>
          </w:tcPr>
          <w:p>
            <w:pPr>
              <w:spacing w:after="0" w:line="20" w:lineRule="exact"/>
              <w:rPr>
                <w:sz w:val="1"/>
                <w:szCs w:val="1"/>
                <w:color w:val="auto"/>
              </w:rPr>
            </w:pPr>
          </w:p>
        </w:tc>
        <w:tc>
          <w:tcPr>
            <w:tcW w:w="760" w:type="dxa"/>
            <w:vAlign w:val="bottom"/>
            <w:tcBorders>
              <w:right w:val="single" w:sz="8" w:color="1E1E1E"/>
            </w:tcBorders>
            <w:shd w:val="clear" w:color="auto" w:fill="1E1E1E"/>
          </w:tcPr>
          <w:p>
            <w:pPr>
              <w:spacing w:after="0" w:line="20" w:lineRule="exact"/>
              <w:rPr>
                <w:sz w:val="1"/>
                <w:szCs w:val="1"/>
                <w:color w:val="auto"/>
              </w:rPr>
            </w:pPr>
          </w:p>
        </w:tc>
        <w:tc>
          <w:tcPr>
            <w:tcW w:w="260" w:type="dxa"/>
            <w:vAlign w:val="bottom"/>
            <w:gridSpan w:val="2"/>
            <w:vMerge w:val="restart"/>
            <w:shd w:val="clear" w:color="auto" w:fill="E1E1E1"/>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840" w:type="dxa"/>
            <w:vAlign w:val="bottom"/>
            <w:tcBorders>
              <w:right w:val="single" w:sz="8" w:color="E1E1E1"/>
            </w:tcBorders>
            <w:shd w:val="clear" w:color="auto" w:fill="1E1E1E"/>
          </w:tcPr>
          <w:p>
            <w:pPr>
              <w:spacing w:after="0" w:line="20" w:lineRule="exact"/>
              <w:rPr>
                <w:sz w:val="1"/>
                <w:szCs w:val="1"/>
                <w:color w:val="auto"/>
              </w:rPr>
            </w:pPr>
          </w:p>
        </w:tc>
        <w:tc>
          <w:tcPr>
            <w:tcW w:w="140" w:type="dxa"/>
            <w:vAlign w:val="bottom"/>
            <w:shd w:val="clear" w:color="auto" w:fill="E1E1E1"/>
          </w:tcPr>
          <w:p>
            <w:pPr>
              <w:spacing w:after="0" w:line="20" w:lineRule="exact"/>
              <w:rPr>
                <w:sz w:val="1"/>
                <w:szCs w:val="1"/>
                <w:color w:val="auto"/>
              </w:rPr>
            </w:pPr>
          </w:p>
        </w:tc>
        <w:tc>
          <w:tcPr>
            <w:tcW w:w="100" w:type="dxa"/>
            <w:vAlign w:val="bottom"/>
            <w:vMerge w:val="restart"/>
            <w:shd w:val="clear" w:color="auto" w:fill="E1E1E1"/>
          </w:tcPr>
          <w:p>
            <w:pPr>
              <w:spacing w:after="0" w:line="20" w:lineRule="exact"/>
              <w:rPr>
                <w:sz w:val="1"/>
                <w:szCs w:val="1"/>
                <w:color w:val="auto"/>
              </w:rPr>
            </w:pPr>
          </w:p>
        </w:tc>
        <w:tc>
          <w:tcPr>
            <w:tcW w:w="160" w:type="dxa"/>
            <w:vAlign w:val="bottom"/>
            <w:tcBorders>
              <w:left w:val="single" w:sz="8" w:color="1E1E1E"/>
            </w:tcBorders>
            <w:shd w:val="clear" w:color="auto" w:fill="1E1E1E"/>
          </w:tcPr>
          <w:p>
            <w:pPr>
              <w:spacing w:after="0" w:line="20" w:lineRule="exact"/>
              <w:rPr>
                <w:sz w:val="1"/>
                <w:szCs w:val="1"/>
                <w:color w:val="auto"/>
              </w:rPr>
            </w:pPr>
          </w:p>
        </w:tc>
        <w:tc>
          <w:tcPr>
            <w:tcW w:w="860" w:type="dxa"/>
            <w:vAlign w:val="bottom"/>
            <w:tcBorders>
              <w:right w:val="single" w:sz="8" w:color="E1E1E1"/>
            </w:tcBorders>
            <w:shd w:val="clear" w:color="auto" w:fill="1E1E1E"/>
          </w:tcPr>
          <w:p>
            <w:pPr>
              <w:spacing w:after="0" w:line="20" w:lineRule="exact"/>
              <w:rPr>
                <w:sz w:val="1"/>
                <w:szCs w:val="1"/>
                <w:color w:val="auto"/>
              </w:rPr>
            </w:pPr>
          </w:p>
        </w:tc>
        <w:tc>
          <w:tcPr>
            <w:tcW w:w="260" w:type="dxa"/>
            <w:vAlign w:val="bottom"/>
            <w:vMerge w:val="restart"/>
            <w:shd w:val="clear" w:color="auto" w:fill="E1E1E1"/>
          </w:tcPr>
          <w:p>
            <w:pPr>
              <w:spacing w:after="0" w:line="20" w:lineRule="exact"/>
              <w:rPr>
                <w:sz w:val="1"/>
                <w:szCs w:val="1"/>
                <w:color w:val="auto"/>
              </w:rPr>
            </w:pPr>
          </w:p>
        </w:tc>
        <w:tc>
          <w:tcPr>
            <w:tcW w:w="120" w:type="dxa"/>
            <w:vAlign w:val="bottom"/>
            <w:tcBorders>
              <w:left w:val="single" w:sz="8" w:color="1E1E1E"/>
            </w:tcBorders>
            <w:shd w:val="clear" w:color="auto" w:fill="1E1E1E"/>
          </w:tcPr>
          <w:p>
            <w:pPr>
              <w:spacing w:after="0" w:line="20" w:lineRule="exact"/>
              <w:rPr>
                <w:sz w:val="1"/>
                <w:szCs w:val="1"/>
                <w:color w:val="auto"/>
              </w:rPr>
            </w:pPr>
          </w:p>
        </w:tc>
        <w:tc>
          <w:tcPr>
            <w:tcW w:w="1020" w:type="dxa"/>
            <w:vAlign w:val="bottom"/>
            <w:shd w:val="clear" w:color="auto" w:fill="1E1E1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gridSpan w:val="2"/>
            <w:shd w:val="clear" w:color="auto" w:fill="1E1E1E"/>
          </w:tcPr>
          <w:p>
            <w:pPr>
              <w:spacing w:after="0" w:line="20" w:lineRule="exact"/>
              <w:rPr>
                <w:sz w:val="1"/>
                <w:szCs w:val="1"/>
                <w:color w:val="auto"/>
              </w:rPr>
            </w:pPr>
          </w:p>
        </w:tc>
        <w:tc>
          <w:tcPr>
            <w:tcW w:w="840" w:type="dxa"/>
            <w:vAlign w:val="bottom"/>
            <w:tcBorders>
              <w:right w:val="single" w:sz="8" w:color="E1E1E1"/>
            </w:tcBorders>
            <w:shd w:val="clear" w:color="auto" w:fill="1E1E1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360" w:type="dxa"/>
            <w:vAlign w:val="bottom"/>
            <w:vMerge w:val="continue"/>
            <w:shd w:val="clear" w:color="auto" w:fill="E1E1E1"/>
          </w:tcPr>
          <w:p>
            <w:pPr>
              <w:spacing w:after="0"/>
              <w:rPr>
                <w:sz w:val="20"/>
                <w:szCs w:val="20"/>
                <w:color w:val="auto"/>
              </w:rPr>
            </w:pP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2,532.5</w:t>
            </w:r>
          </w:p>
        </w:tc>
        <w:tc>
          <w:tcPr>
            <w:tcW w:w="240" w:type="dxa"/>
            <w:vAlign w:val="bottom"/>
            <w:vMerge w:val="continue"/>
            <w:shd w:val="clear" w:color="auto" w:fill="E1E1E1"/>
          </w:tcPr>
          <w:p>
            <w:pPr>
              <w:spacing w:after="0"/>
              <w:rPr>
                <w:sz w:val="20"/>
                <w:szCs w:val="20"/>
                <w:color w:val="auto"/>
              </w:rPr>
            </w:pPr>
          </w:p>
        </w:tc>
        <w:tc>
          <w:tcPr>
            <w:tcW w:w="160" w:type="dxa"/>
            <w:vAlign w:val="bottom"/>
            <w:tcBorders>
              <w:left w:val="single" w:sz="8" w:color="E1E1E1"/>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1E1E1E"/>
              </w:rPr>
              <w:t>(1,775.2)</w:t>
            </w:r>
          </w:p>
        </w:tc>
        <w:tc>
          <w:tcPr>
            <w:tcW w:w="120" w:type="dxa"/>
            <w:vAlign w:val="bottom"/>
            <w:gridSpan w:val="2"/>
            <w:vMerge w:val="continue"/>
          </w:tcPr>
          <w:p>
            <w:pPr>
              <w:spacing w:after="0"/>
              <w:rPr>
                <w:sz w:val="20"/>
                <w:szCs w:val="20"/>
                <w:color w:val="auto"/>
              </w:rPr>
            </w:pPr>
          </w:p>
        </w:tc>
        <w:tc>
          <w:tcPr>
            <w:tcW w:w="1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757.3</w:t>
            </w:r>
          </w:p>
        </w:tc>
        <w:tc>
          <w:tcPr>
            <w:tcW w:w="260" w:type="dxa"/>
            <w:vAlign w:val="bottom"/>
            <w:gridSpan w:val="2"/>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140" w:type="dxa"/>
            <w:vAlign w:val="bottom"/>
            <w:shd w:val="clear" w:color="auto" w:fill="E1E1E1"/>
          </w:tcPr>
          <w:p>
            <w:pPr>
              <w:spacing w:after="0"/>
              <w:rPr>
                <w:sz w:val="20"/>
                <w:szCs w:val="20"/>
                <w:color w:val="auto"/>
              </w:rPr>
            </w:pPr>
          </w:p>
        </w:tc>
        <w:tc>
          <w:tcPr>
            <w:tcW w:w="100" w:type="dxa"/>
            <w:vAlign w:val="bottom"/>
            <w:vMerge w:val="continue"/>
            <w:shd w:val="clear" w:color="auto" w:fill="E1E1E1"/>
          </w:tcPr>
          <w:p>
            <w:pPr>
              <w:spacing w:after="0"/>
              <w:rPr>
                <w:sz w:val="20"/>
                <w:szCs w:val="20"/>
                <w:color w:val="auto"/>
              </w:rPr>
            </w:pPr>
          </w:p>
        </w:tc>
        <w:tc>
          <w:tcPr>
            <w:tcW w:w="160" w:type="dxa"/>
            <w:vAlign w:val="bottom"/>
            <w:tcBorders>
              <w:lef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1E1E1"/>
              </w:rPr>
              <w:t>$</w:t>
            </w:r>
          </w:p>
        </w:tc>
        <w:tc>
          <w:tcPr>
            <w:tcW w:w="86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2,534.8</w:t>
            </w:r>
          </w:p>
        </w:tc>
        <w:tc>
          <w:tcPr>
            <w:tcW w:w="260" w:type="dxa"/>
            <w:vAlign w:val="bottom"/>
            <w:vMerge w:val="continue"/>
            <w:shd w:val="clear" w:color="auto" w:fill="E1E1E1"/>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1E1E1E"/>
              </w:rPr>
              <w:t>(1,775.2)</w:t>
            </w:r>
          </w:p>
        </w:tc>
        <w:tc>
          <w:tcPr>
            <w:tcW w:w="100" w:type="dxa"/>
            <w:vAlign w:val="bottom"/>
            <w:vMerge w:val="continue"/>
          </w:tcPr>
          <w:p>
            <w:pPr>
              <w:spacing w:after="0"/>
              <w:rPr>
                <w:sz w:val="20"/>
                <w:szCs w:val="20"/>
                <w:color w:val="auto"/>
              </w:rPr>
            </w:pPr>
          </w:p>
        </w:tc>
        <w:tc>
          <w:tcPr>
            <w:tcW w:w="200" w:type="dxa"/>
            <w:vAlign w:val="bottom"/>
            <w:gridSpan w:val="2"/>
            <w:shd w:val="clear" w:color="auto" w:fill="E1E1E1"/>
          </w:tcPr>
          <w:p>
            <w:pPr>
              <w:jc w:val="right"/>
              <w:ind w:right="15"/>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right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759.6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122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-1769745</wp:posOffset>
            </wp:positionV>
            <wp:extent cx="1004570" cy="164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a:extLst>
                        <a:ext uri="{28A0092B-C50C-407E-A947-70E740481C1C}"/>
                      </a:extLst>
                    </a:blip>
                    <a:srcRect/>
                    <a:stretch>
                      <a:fillRect/>
                    </a:stretch>
                  </pic:blipFill>
                  <pic:spPr bwMode="auto">
                    <a:xfrm>
                      <a:off x="0" y="0"/>
                      <a:ext cx="1004570" cy="16446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-1769745</wp:posOffset>
            </wp:positionV>
            <wp:extent cx="896620" cy="164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extLst>
                    </a:blip>
                    <a:srcRect/>
                    <a:stretch>
                      <a:fillRect/>
                    </a:stretch>
                  </pic:blipFill>
                  <pic:spPr bwMode="auto">
                    <a:xfrm>
                      <a:off x="0" y="0"/>
                      <a:ext cx="896620" cy="16446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-1450340</wp:posOffset>
            </wp:positionV>
            <wp:extent cx="1004570" cy="164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extLst>
                        <a:ext uri="{28A0092B-C50C-407E-A947-70E740481C1C}"/>
                      </a:extLst>
                    </a:blip>
                    <a:srcRect/>
                    <a:stretch>
                      <a:fillRect/>
                    </a:stretch>
                  </pic:blipFill>
                  <pic:spPr bwMode="auto">
                    <a:xfrm>
                      <a:off x="0" y="0"/>
                      <a:ext cx="1004570" cy="16446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-511810</wp:posOffset>
            </wp:positionV>
            <wp:extent cx="1006475" cy="164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extLst>
                        <a:ext uri="{28A0092B-C50C-407E-A947-70E740481C1C}"/>
                      </a:extLst>
                    </a:blip>
                    <a:srcRect/>
                    <a:stretch>
                      <a:fillRect/>
                    </a:stretch>
                  </pic:blipFill>
                  <pic:spPr bwMode="auto">
                    <a:xfrm>
                      <a:off x="0" y="0"/>
                      <a:ext cx="1006475" cy="164465"/>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-511810</wp:posOffset>
            </wp:positionV>
            <wp:extent cx="753110" cy="164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a:extLst>
                        <a:ext uri="{28A0092B-C50C-407E-A947-70E740481C1C}"/>
                      </a:extLst>
                    </a:blip>
                    <a:srcRect/>
                    <a:stretch>
                      <a:fillRect/>
                    </a:stretch>
                  </pic:blipFill>
                  <pic:spPr bwMode="auto">
                    <a:xfrm>
                      <a:off x="0" y="0"/>
                      <a:ext cx="753110" cy="16446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-511810</wp:posOffset>
            </wp:positionV>
            <wp:extent cx="897890" cy="164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extLst>
                    </a:blip>
                    <a:srcRect/>
                    <a:stretch>
                      <a:fillRect/>
                    </a:stretch>
                  </pic:blipFill>
                  <pic:spPr bwMode="auto">
                    <a:xfrm>
                      <a:off x="0" y="0"/>
                      <a:ext cx="897890" cy="16446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-192405</wp:posOffset>
            </wp:positionV>
            <wp:extent cx="1006475" cy="164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extLst>
                    </a:blip>
                    <a:srcRect/>
                    <a:stretch>
                      <a:fillRect/>
                    </a:stretch>
                  </pic:blipFill>
                  <pic:spPr bwMode="auto">
                    <a:xfrm>
                      <a:off x="0" y="0"/>
                      <a:ext cx="1006475" cy="16446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-192405</wp:posOffset>
            </wp:positionV>
            <wp:extent cx="897890" cy="164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897890" cy="164465"/>
                    </a:xfrm>
                    <a:prstGeom prst="rect">
                      <a:avLst/>
                    </a:prstGeom>
                    <a:noFill/>
                  </pic:spPr>
                </pic:pic>
              </a:graphicData>
            </a:graphic>
          </wp:anchor>
        </w:drawing>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80</w:t>
      </w:r>
    </w:p>
    <w:p>
      <w:pPr>
        <w:sectPr>
          <w:pgSz w:w="11880" w:h="15480" w:orient="portrait"/>
          <w:cols w:equalWidth="0" w:num="1">
            <w:col w:w="10800"/>
          </w:cols>
          <w:pgMar w:left="540" w:top="515" w:right="540" w:bottom="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1E1E1E"/>
        </w:rPr>
        <w:t>During the years ended December 31, 2025 and 2024, the Company recorded an additional $1.7 million and $5.2 million, respectively, of goodwill in the Aurora (formerly ANS) segment related to the Casa acquisition.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Interim and Annual Goodwill Impairment Testing</w:t>
      </w:r>
    </w:p>
    <w:p>
      <w:pPr>
        <w:spacing w:after="0" w:line="12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Estimating the fair value of a reporting unit involves uncertainties because it requires management to develop numerous assumptions, including assumptions about the future growth and potential volatility in revenues and costs, capital expenditures, industry economic factors and future business strategy. Changes in projected revenue growth rates, projected EBITDA margin percentages or estimated discount rates due to uncertain market conditions, terminal growth rates, lower market multiples, loss of one or more key customers, changes in the Company’s strategy, changes in technology or other factors could negatively affect the fair value in one or more of the Company’s reporting units and result in a material impairment charge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Year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During the annual impairment test performed in the fourth quarter of 2025, no goodwill impairments were identified.</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Year 2024:</w:t>
      </w:r>
    </w:p>
    <w:p>
      <w:pPr>
        <w:spacing w:after="0" w:line="117"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20"/>
          <w:szCs w:val="20"/>
          <w:color w:val="1E1E1E"/>
        </w:rPr>
        <w:t>During the third quarter of 2024, the Company completed an impairment analysis for goodwill recorded within the RUCKUS (formerly NICS) reporting unit, which was impacted by the divestiture of the DAS business unit. The quantitative assessment was used, and the Company determined that the fair value of the impacted reporting unit exceeded the carrying value and that no impairment existed immediately prior to or subsequent to allocating goodwill to the disposal group that included the DAS business unit. The Company allocated $113.5 million of goodwill to the disposal group based on the relative fair value of the DAS business unit as compared to the RUCKUS reporting unit, along with $504.3 million of goodwill that was entirely attributable to its OWN reporting unit. Total goodwill for the disposal group of $617.8 million was classified as held for sale as of December 31, 2024. The fair values of the DAS business unit and the RUCKUS reporting unit were determined using Level 3 valuation inputs.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During the annual impairment test performed in the fourth quarter of 2024, no goodwill impairments were identified.</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Year 2023:</w:t>
      </w:r>
    </w:p>
    <w:p>
      <w:pPr>
        <w:spacing w:after="0" w:line="23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1E1E1E"/>
        </w:rPr>
        <w:t>During the third quarter of 2023, the Company concluded that a triggering event occurred, primarily due to a sustained decrease in the market value of the Company’s debt and common stock affecting the overall business and changes in expected future cash flows due to reduced earnings forecasts and current macroeconomic conditions, including a rising interest rate environment. As a result, the Company performed an interim quantitative goodwill impairment test for its Aurora (formerly ANS) reporting unit and recorded a goodwill impairment charge of $ 425.9 million in asset impairments on the Consolidated Statements of Operations to partially write down the carrying amount of the goodwill in the Aurora reporting unit. The Aurora reporting unit is the same as the Aurora segment. The fair value of the reporting unit was determined using Level 3 valuation inputs.</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During the annual impairment test performed in the fourth quarter of 2023 and in conjunction with the development of the Company’s 2024 and long-range plans, the Company determined the goodwill balance in the Aurora reporting unit was impaired and recorded a partial impairment charge of $46.4 million in asset impairments on the Consolidated Statements of Operations. The impairment charge resulted from the Company’s assessment of further lower revenue growth and EBITDA margins in the fourth quarter of 2023, due to adverse impacts of market conditions on the current year profitability and estimated future business results and cash flows. The fair value of the reporting unit was determined using Level 3 valuation inputs.</w:t>
      </w:r>
    </w:p>
    <w:p>
      <w:pPr>
        <w:spacing w:after="0" w:line="317" w:lineRule="exact"/>
        <w:rPr>
          <w:sz w:val="20"/>
          <w:szCs w:val="20"/>
          <w:color w:val="auto"/>
        </w:rPr>
      </w:pPr>
    </w:p>
    <w:p>
      <w:pPr>
        <w:ind w:right="5520"/>
        <w:spacing w:after="0" w:line="366" w:lineRule="auto"/>
        <w:tabs>
          <w:tab w:leader="none" w:pos="400" w:val="left"/>
        </w:tabs>
        <w:numPr>
          <w:ilvl w:val="0"/>
          <w:numId w:val="5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REVENUE FROM CONTRACTS WITH CUSTOMERS Disaggregated Net Sales</w:t>
      </w:r>
    </w:p>
    <w:p>
      <w:pPr>
        <w:spacing w:after="0" w:line="1" w:lineRule="exact"/>
        <w:rPr>
          <w:rFonts w:ascii="Times New Roman" w:cs="Times New Roman" w:eastAsia="Times New Roman" w:hAnsi="Times New Roman"/>
          <w:sz w:val="20"/>
          <w:szCs w:val="20"/>
          <w:b w:val="1"/>
          <w:bCs w:val="1"/>
          <w:color w:val="1E1E1E"/>
        </w:rPr>
      </w:pPr>
    </w:p>
    <w:p>
      <w:pPr>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color w:val="1E1E1E"/>
        </w:rPr>
        <w:t>For the presentation of net sales by segment and geographic region, see Note 17 included in these consolidated financial statements.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81</w:t>
      </w:r>
    </w:p>
    <w:p>
      <w:pPr>
        <w:sectPr>
          <w:pgSz w:w="11880" w:h="15480" w:orient="portrait"/>
          <w:cols w:equalWidth="0" w:num="1">
            <w:col w:w="10800"/>
          </w:cols>
          <w:pgMar w:left="540" w:top="515" w:right="540" w:bottom="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Allowance for Doubtful Accounts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860" w:type="dxa"/>
            <w:vAlign w:val="bottom"/>
            <w:tcBorders>
              <w:bottom w:val="single" w:sz="8" w:color="1E1E1E"/>
            </w:tcBorders>
          </w:tcPr>
          <w:p>
            <w:pPr>
              <w:spacing w:after="0"/>
              <w:rPr>
                <w:sz w:val="17"/>
                <w:szCs w:val="17"/>
                <w:color w:val="auto"/>
              </w:rPr>
            </w:pPr>
          </w:p>
        </w:tc>
        <w:tc>
          <w:tcPr>
            <w:tcW w:w="380" w:type="dxa"/>
            <w:vAlign w:val="bottom"/>
            <w:tcBorders>
              <w:bottom w:val="single" w:sz="8" w:color="1E1E1E"/>
            </w:tcBorders>
          </w:tcPr>
          <w:p>
            <w:pPr>
              <w:spacing w:after="0"/>
              <w:rPr>
                <w:sz w:val="17"/>
                <w:szCs w:val="17"/>
                <w:color w:val="auto"/>
              </w:rPr>
            </w:pPr>
          </w:p>
        </w:tc>
        <w:tc>
          <w:tcPr>
            <w:tcW w:w="1860" w:type="dxa"/>
            <w:vAlign w:val="bottom"/>
            <w:tcBorders>
              <w:bottom w:val="single" w:sz="8" w:color="1E1E1E"/>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w w:val="99"/>
              </w:rPr>
              <w:t>Year Ended December 31,</w:t>
            </w:r>
          </w:p>
        </w:tc>
        <w:tc>
          <w:tcPr>
            <w:tcW w:w="260" w:type="dxa"/>
            <w:vAlign w:val="bottom"/>
            <w:tcBorders>
              <w:bottom w:val="single" w:sz="8" w:color="1E1E1E"/>
            </w:tcBorders>
          </w:tcPr>
          <w:p>
            <w:pPr>
              <w:spacing w:after="0"/>
              <w:rPr>
                <w:sz w:val="17"/>
                <w:szCs w:val="17"/>
                <w:color w:val="auto"/>
              </w:rPr>
            </w:pPr>
          </w:p>
        </w:tc>
        <w:tc>
          <w:tcPr>
            <w:tcW w:w="9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420" w:type="dxa"/>
            <w:vAlign w:val="bottom"/>
            <w:tcBorders>
              <w:bottom w:val="single" w:sz="8" w:color="E1E1E1"/>
            </w:tcBorders>
          </w:tcPr>
          <w:p>
            <w:pPr>
              <w:spacing w:after="0"/>
              <w:rPr>
                <w:sz w:val="16"/>
                <w:szCs w:val="16"/>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80" w:type="dxa"/>
            <w:vAlign w:val="bottom"/>
            <w:tcBorders>
              <w:bottom w:val="single" w:sz="8" w:color="1E1E1E"/>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300" w:type="dxa"/>
            <w:vAlign w:val="bottom"/>
            <w:tcBorders>
              <w:bottom w:val="single" w:sz="8" w:color="E1E1E1"/>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960" w:type="dxa"/>
            <w:vAlign w:val="bottom"/>
            <w:tcBorders>
              <w:bottom w:val="single" w:sz="8" w:color="1E1E1E"/>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0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40" w:type="dxa"/>
            <w:vAlign w:val="bottom"/>
            <w:tcBorders>
              <w:bottom w:val="single" w:sz="8" w:color="1E1E1E"/>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r>
      <w:tr>
        <w:trPr>
          <w:trHeight w:val="239"/>
        </w:trPr>
        <w:tc>
          <w:tcPr>
            <w:tcW w:w="64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Allowance for doubtful accounts, beginning of period</w:t>
            </w:r>
          </w:p>
        </w:tc>
        <w:tc>
          <w:tcPr>
            <w:tcW w:w="860" w:type="dxa"/>
            <w:vAlign w:val="bottom"/>
            <w:shd w:val="clear" w:color="auto" w:fill="E1E1E1"/>
          </w:tcPr>
          <w:p>
            <w:pPr>
              <w:jc w:val="right"/>
              <w:ind w:right="667"/>
              <w:spacing w:after="0"/>
              <w:rPr>
                <w:sz w:val="20"/>
                <w:szCs w:val="20"/>
                <w:color w:val="auto"/>
              </w:rPr>
            </w:pPr>
            <w:r>
              <w:rPr>
                <w:rFonts w:ascii="Times New Roman" w:cs="Times New Roman" w:eastAsia="Times New Roman" w:hAnsi="Times New Roman"/>
                <w:sz w:val="20"/>
                <w:szCs w:val="20"/>
                <w:color w:val="1E1E1E"/>
                <w:w w:val="79"/>
              </w:rPr>
              <w:t>$</w:t>
            </w:r>
          </w:p>
        </w:tc>
        <w:tc>
          <w:tcPr>
            <w:tcW w:w="3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20" w:type="dxa"/>
            <w:vAlign w:val="bottom"/>
            <w:shd w:val="clear" w:color="auto" w:fill="E1E1E1"/>
          </w:tcPr>
          <w:p>
            <w:pPr>
              <w:spacing w:after="0"/>
              <w:rPr>
                <w:sz w:val="20"/>
                <w:szCs w:val="20"/>
                <w:color w:val="auto"/>
              </w:rPr>
            </w:pPr>
          </w:p>
        </w:tc>
        <w:tc>
          <w:tcPr>
            <w:tcW w:w="300" w:type="dxa"/>
            <w:vAlign w:val="bottom"/>
            <w:shd w:val="clear" w:color="auto" w:fill="E1E1E1"/>
          </w:tcPr>
          <w:p>
            <w:pPr>
              <w:spacing w:after="0"/>
              <w:rPr>
                <w:sz w:val="20"/>
                <w:szCs w:val="20"/>
                <w:color w:val="auto"/>
              </w:rPr>
            </w:pP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300" w:type="dxa"/>
            <w:vAlign w:val="bottom"/>
            <w:shd w:val="clear" w:color="auto" w:fill="E1E1E1"/>
          </w:tcPr>
          <w:p>
            <w:pPr>
              <w:spacing w:after="0"/>
              <w:rPr>
                <w:sz w:val="20"/>
                <w:szCs w:val="20"/>
                <w:color w:val="auto"/>
              </w:rPr>
            </w:pP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9.9</w:t>
            </w:r>
          </w:p>
        </w:tc>
        <w:tc>
          <w:tcPr>
            <w:tcW w:w="80" w:type="dxa"/>
            <w:vAlign w:val="bottom"/>
            <w:shd w:val="clear" w:color="auto" w:fill="E1E1E1"/>
          </w:tcPr>
          <w:p>
            <w:pPr>
              <w:spacing w:after="0"/>
              <w:rPr>
                <w:sz w:val="20"/>
                <w:szCs w:val="20"/>
                <w:color w:val="auto"/>
              </w:rPr>
            </w:pPr>
          </w:p>
        </w:tc>
      </w:tr>
      <w:tr>
        <w:trPr>
          <w:trHeight w:val="244"/>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1E1E1E"/>
              </w:rPr>
              <w:t>Benefit</w:t>
            </w:r>
          </w:p>
        </w:tc>
        <w:tc>
          <w:tcPr>
            <w:tcW w:w="860" w:type="dxa"/>
            <w:vAlign w:val="bottom"/>
          </w:tcPr>
          <w:p>
            <w:pPr>
              <w:spacing w:after="0"/>
              <w:rPr>
                <w:sz w:val="21"/>
                <w:szCs w:val="21"/>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1E1E1E"/>
              </w:rPr>
              <w:t>(0.1)</w:t>
            </w:r>
          </w:p>
        </w:tc>
        <w:tc>
          <w:tcPr>
            <w:tcW w:w="2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(3.7)</w:t>
            </w: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(3.2)</w:t>
            </w:r>
          </w:p>
        </w:tc>
      </w:tr>
      <w:tr>
        <w:trPr>
          <w:trHeight w:val="244"/>
        </w:trPr>
        <w:tc>
          <w:tcPr>
            <w:tcW w:w="64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Write-offs</w:t>
            </w:r>
          </w:p>
        </w:tc>
        <w:tc>
          <w:tcPr>
            <w:tcW w:w="860" w:type="dxa"/>
            <w:vAlign w:val="bottom"/>
            <w:shd w:val="clear" w:color="auto" w:fill="E1E1E1"/>
          </w:tcPr>
          <w:p>
            <w:pPr>
              <w:spacing w:after="0"/>
              <w:rPr>
                <w:sz w:val="21"/>
                <w:szCs w:val="21"/>
                <w:color w:val="auto"/>
              </w:rPr>
            </w:pPr>
          </w:p>
        </w:tc>
        <w:tc>
          <w:tcPr>
            <w:tcW w:w="3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260" w:type="dxa"/>
            <w:vAlign w:val="bottom"/>
            <w:gridSpan w:val="2"/>
            <w:shd w:val="clear" w:color="auto" w:fill="E1E1E1"/>
          </w:tcPr>
          <w:p>
            <w:pPr>
              <w:jc w:val="right"/>
              <w:ind w:right="240"/>
              <w:spacing w:after="0"/>
              <w:rPr>
                <w:sz w:val="20"/>
                <w:szCs w:val="20"/>
                <w:color w:val="auto"/>
              </w:rPr>
            </w:pPr>
            <w:r>
              <w:rPr>
                <w:rFonts w:ascii="Times New Roman" w:cs="Times New Roman" w:eastAsia="Times New Roman" w:hAnsi="Times New Roman"/>
                <w:sz w:val="20"/>
                <w:szCs w:val="20"/>
                <w:color w:val="1E1E1E"/>
              </w:rPr>
              <w:t>(1.0)</w:t>
            </w:r>
          </w:p>
        </w:tc>
        <w:tc>
          <w:tcPr>
            <w:tcW w:w="260" w:type="dxa"/>
            <w:vAlign w:val="bottom"/>
            <w:shd w:val="clear" w:color="auto" w:fill="E1E1E1"/>
          </w:tcPr>
          <w:p>
            <w:pPr>
              <w:spacing w:after="0"/>
              <w:rPr>
                <w:sz w:val="21"/>
                <w:szCs w:val="21"/>
                <w:color w:val="auto"/>
              </w:rPr>
            </w:pPr>
          </w:p>
        </w:tc>
        <w:tc>
          <w:tcPr>
            <w:tcW w:w="10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(0.5)</w:t>
            </w:r>
          </w:p>
        </w:tc>
      </w:tr>
      <w:tr>
        <w:trPr>
          <w:trHeight w:val="244"/>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1E1E1E"/>
              </w:rPr>
              <w:t>Foreign exchange and other</w:t>
            </w: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(0.2)</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80" w:type="dxa"/>
            <w:vAlign w:val="bottom"/>
          </w:tcPr>
          <w:p>
            <w:pPr>
              <w:spacing w:after="0"/>
              <w:rPr>
                <w:sz w:val="21"/>
                <w:szCs w:val="21"/>
                <w:color w:val="auto"/>
              </w:rPr>
            </w:pPr>
          </w:p>
        </w:tc>
      </w:tr>
      <w:tr>
        <w:trPr>
          <w:trHeight w:val="239"/>
        </w:trPr>
        <w:tc>
          <w:tcPr>
            <w:tcW w:w="642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Allowance for doubtful accounts, end of period</w:t>
            </w:r>
          </w:p>
        </w:tc>
        <w:tc>
          <w:tcPr>
            <w:tcW w:w="860" w:type="dxa"/>
            <w:vAlign w:val="bottom"/>
            <w:tcBorders>
              <w:top w:val="single" w:sz="8" w:color="1E1E1E"/>
              <w:bottom w:val="single" w:sz="8" w:color="1E1E1E"/>
            </w:tcBorders>
            <w:shd w:val="clear" w:color="auto" w:fill="E1E1E1"/>
          </w:tcPr>
          <w:p>
            <w:pPr>
              <w:jc w:val="right"/>
              <w:ind w:right="667"/>
              <w:spacing w:after="0"/>
              <w:rPr>
                <w:sz w:val="20"/>
                <w:szCs w:val="20"/>
                <w:color w:val="auto"/>
              </w:rPr>
            </w:pPr>
            <w:r>
              <w:rPr>
                <w:rFonts w:ascii="Times New Roman" w:cs="Times New Roman" w:eastAsia="Times New Roman" w:hAnsi="Times New Roman"/>
                <w:sz w:val="20"/>
                <w:szCs w:val="20"/>
                <w:color w:val="1E1E1E"/>
                <w:w w:val="79"/>
              </w:rPr>
              <w:t>$</w:t>
            </w:r>
          </w:p>
        </w:tc>
        <w:tc>
          <w:tcPr>
            <w:tcW w:w="3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20" w:type="dxa"/>
            <w:vAlign w:val="bottom"/>
            <w:tcBorders>
              <w:top w:val="single" w:sz="8" w:color="1E1E1E"/>
              <w:bottom w:val="single" w:sz="8" w:color="1E1E1E"/>
            </w:tcBorders>
            <w:shd w:val="clear" w:color="auto" w:fill="E1E1E1"/>
          </w:tcPr>
          <w:p>
            <w:pPr>
              <w:spacing w:after="0"/>
              <w:rPr>
                <w:sz w:val="20"/>
                <w:szCs w:val="20"/>
                <w:color w:val="auto"/>
              </w:rPr>
            </w:pPr>
          </w:p>
        </w:tc>
        <w:tc>
          <w:tcPr>
            <w:tcW w:w="300" w:type="dxa"/>
            <w:vAlign w:val="bottom"/>
            <w:tcBorders>
              <w:top w:val="single" w:sz="8" w:color="E1E1E1"/>
            </w:tcBorders>
            <w:shd w:val="clear" w:color="auto" w:fill="E1E1E1"/>
          </w:tcPr>
          <w:p>
            <w:pPr>
              <w:spacing w:after="0"/>
              <w:rPr>
                <w:sz w:val="20"/>
                <w:szCs w:val="20"/>
                <w:color w:val="auto"/>
              </w:rPr>
            </w:pPr>
          </w:p>
        </w:tc>
        <w:tc>
          <w:tcPr>
            <w:tcW w:w="280" w:type="dxa"/>
            <w:vAlign w:val="bottom"/>
            <w:tcBorders>
              <w:top w:val="single" w:sz="8" w:color="1E1E1E"/>
              <w:bottom w:val="single" w:sz="8" w:color="1E1E1E"/>
            </w:tcBorders>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300" w:type="dxa"/>
            <w:vAlign w:val="bottom"/>
            <w:tcBorders>
              <w:top w:val="single" w:sz="8" w:color="E1E1E1"/>
            </w:tcBorders>
            <w:shd w:val="clear" w:color="auto" w:fill="E1E1E1"/>
          </w:tcPr>
          <w:p>
            <w:pPr>
              <w:spacing w:after="0"/>
              <w:rPr>
                <w:sz w:val="20"/>
                <w:szCs w:val="20"/>
                <w:color w:val="auto"/>
              </w:rPr>
            </w:pPr>
          </w:p>
        </w:tc>
        <w:tc>
          <w:tcPr>
            <w:tcW w:w="260" w:type="dxa"/>
            <w:vAlign w:val="bottom"/>
            <w:tcBorders>
              <w:top w:val="single" w:sz="8" w:color="1E1E1E"/>
              <w:bottom w:val="single" w:sz="8" w:color="1E1E1E"/>
            </w:tcBorders>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80" w:type="dxa"/>
            <w:vAlign w:val="bottom"/>
            <w:tcBorders>
              <w:top w:val="single" w:sz="8" w:color="E1E1E1"/>
            </w:tcBorders>
            <w:shd w:val="clear" w:color="auto" w:fill="E1E1E1"/>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Customer Contract Balances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provides the balance sheet location and amounts of contract assets, or unbilled accounts receivable, and contract</w:t>
      </w:r>
    </w:p>
    <w:tbl>
      <w:tblPr>
        <w:tblLayout w:type="fixed"/>
        <w:tblInd w:w="0" w:type="dxa"/>
        <w:tblCellMar>
          <w:top w:w="0" w:type="dxa"/>
          <w:left w:w="0" w:type="dxa"/>
          <w:bottom w:w="0" w:type="dxa"/>
          <w:right w:w="0" w:type="dxa"/>
        </w:tblCellMar>
      </w:tblPr>
      <w:tr>
        <w:trPr>
          <w:trHeight w:val="268"/>
        </w:trPr>
        <w:tc>
          <w:tcPr>
            <w:tcW w:w="740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liabilities, or deferred revenue, from contracts with customers as of December 31, 2025 and</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1E1E1E"/>
              </w:rPr>
              <w:t>2024.</w:t>
            </w: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3200" w:type="dxa"/>
            <w:vAlign w:val="bottom"/>
            <w:tcBorders>
              <w:bottom w:val="single" w:sz="8" w:color="1E1E1E"/>
            </w:tcBorders>
          </w:tcPr>
          <w:p>
            <w:pPr>
              <w:ind w:left="800"/>
              <w:spacing w:after="0"/>
              <w:rPr>
                <w:sz w:val="20"/>
                <w:szCs w:val="20"/>
                <w:color w:val="auto"/>
              </w:rPr>
            </w:pPr>
            <w:r>
              <w:rPr>
                <w:rFonts w:ascii="Times New Roman" w:cs="Times New Roman" w:eastAsia="Times New Roman" w:hAnsi="Times New Roman"/>
                <w:sz w:val="16"/>
                <w:szCs w:val="16"/>
                <w:b w:val="1"/>
                <w:bCs w:val="1"/>
                <w:color w:val="1E1E1E"/>
              </w:rPr>
              <w:t>Contract Balance Type</w:t>
            </w:r>
          </w:p>
        </w:tc>
        <w:tc>
          <w:tcPr>
            <w:tcW w:w="160" w:type="dxa"/>
            <w:vAlign w:val="bottom"/>
            <w:tcBorders>
              <w:bottom w:val="single" w:sz="8" w:color="E1E1E1"/>
            </w:tcBorders>
          </w:tcPr>
          <w:p>
            <w:pPr>
              <w:spacing w:after="0"/>
              <w:rPr>
                <w:sz w:val="24"/>
                <w:szCs w:val="24"/>
                <w:color w:val="auto"/>
              </w:rPr>
            </w:pPr>
          </w:p>
        </w:tc>
        <w:tc>
          <w:tcPr>
            <w:tcW w:w="4020" w:type="dxa"/>
            <w:vAlign w:val="bottom"/>
            <w:tcBorders>
              <w:bottom w:val="single" w:sz="8" w:color="1E1E1E"/>
            </w:tcBorders>
          </w:tcPr>
          <w:p>
            <w:pPr>
              <w:ind w:left="1340"/>
              <w:spacing w:after="0"/>
              <w:rPr>
                <w:sz w:val="20"/>
                <w:szCs w:val="20"/>
                <w:color w:val="auto"/>
              </w:rPr>
            </w:pPr>
            <w:r>
              <w:rPr>
                <w:rFonts w:ascii="Times New Roman" w:cs="Times New Roman" w:eastAsia="Times New Roman" w:hAnsi="Times New Roman"/>
                <w:sz w:val="16"/>
                <w:szCs w:val="16"/>
                <w:b w:val="1"/>
                <w:bCs w:val="1"/>
                <w:color w:val="1E1E1E"/>
              </w:rPr>
              <w:t>Balance Sheet Location</w:t>
            </w:r>
          </w:p>
        </w:tc>
        <w:tc>
          <w:tcPr>
            <w:tcW w:w="260" w:type="dxa"/>
            <w:vAlign w:val="bottom"/>
            <w:tcBorders>
              <w:bottom w:val="single" w:sz="8" w:color="1E1E1E"/>
            </w:tcBorders>
          </w:tcPr>
          <w:p>
            <w:pPr>
              <w:spacing w:after="0"/>
              <w:rPr>
                <w:sz w:val="24"/>
                <w:szCs w:val="24"/>
                <w:color w:val="auto"/>
              </w:rPr>
            </w:pPr>
          </w:p>
        </w:tc>
        <w:tc>
          <w:tcPr>
            <w:tcW w:w="160" w:type="dxa"/>
            <w:vAlign w:val="bottom"/>
            <w:tcBorders>
              <w:bottom w:val="single" w:sz="8" w:color="E1E1E1"/>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80" w:type="dxa"/>
            <w:vAlign w:val="bottom"/>
            <w:tcBorders>
              <w:bottom w:val="single" w:sz="8" w:color="E1E1E1"/>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0" w:type="dxa"/>
            <w:vAlign w:val="bottom"/>
            <w:tcBorders>
              <w:bottom w:val="single" w:sz="8" w:color="E1E1E1"/>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E1E1E1"/>
          </w:tcPr>
          <w:p>
            <w:pPr>
              <w:spacing w:after="0"/>
              <w:rPr>
                <w:sz w:val="18"/>
                <w:szCs w:val="18"/>
                <w:color w:val="auto"/>
              </w:rPr>
            </w:pPr>
          </w:p>
        </w:tc>
        <w:tc>
          <w:tcPr>
            <w:tcW w:w="160" w:type="dxa"/>
            <w:vAlign w:val="bottom"/>
            <w:shd w:val="clear" w:color="auto" w:fill="E1E1E1"/>
          </w:tcPr>
          <w:p>
            <w:pPr>
              <w:spacing w:after="0"/>
              <w:rPr>
                <w:sz w:val="18"/>
                <w:szCs w:val="18"/>
                <w:color w:val="auto"/>
              </w:rPr>
            </w:pPr>
          </w:p>
        </w:tc>
        <w:tc>
          <w:tcPr>
            <w:tcW w:w="4020" w:type="dxa"/>
            <w:vAlign w:val="bottom"/>
            <w:shd w:val="clear" w:color="auto" w:fill="E1E1E1"/>
          </w:tcPr>
          <w:p>
            <w:pPr>
              <w:spacing w:after="0" w:line="218" w:lineRule="exact"/>
              <w:rPr>
                <w:sz w:val="20"/>
                <w:szCs w:val="20"/>
                <w:color w:val="auto"/>
              </w:rPr>
            </w:pPr>
            <w:r>
              <w:rPr>
                <w:rFonts w:ascii="Times New Roman" w:cs="Times New Roman" w:eastAsia="Times New Roman" w:hAnsi="Times New Roman"/>
                <w:sz w:val="20"/>
                <w:szCs w:val="20"/>
                <w:color w:val="1E1E1E"/>
              </w:rPr>
              <w:t>Accounts receivable, net of allowance</w:t>
            </w:r>
          </w:p>
        </w:tc>
        <w:tc>
          <w:tcPr>
            <w:tcW w:w="260" w:type="dxa"/>
            <w:vAlign w:val="bottom"/>
            <w:shd w:val="clear" w:color="auto" w:fill="E1E1E1"/>
          </w:tcPr>
          <w:p>
            <w:pPr>
              <w:spacing w:after="0"/>
              <w:rPr>
                <w:sz w:val="18"/>
                <w:szCs w:val="18"/>
                <w:color w:val="auto"/>
              </w:rPr>
            </w:pPr>
          </w:p>
        </w:tc>
        <w:tc>
          <w:tcPr>
            <w:tcW w:w="160" w:type="dxa"/>
            <w:vAlign w:val="bottom"/>
            <w:shd w:val="clear" w:color="auto" w:fill="E1E1E1"/>
          </w:tcPr>
          <w:p>
            <w:pPr>
              <w:spacing w:after="0"/>
              <w:rPr>
                <w:sz w:val="18"/>
                <w:szCs w:val="18"/>
                <w:color w:val="auto"/>
              </w:rPr>
            </w:pPr>
          </w:p>
        </w:tc>
        <w:tc>
          <w:tcPr>
            <w:tcW w:w="340" w:type="dxa"/>
            <w:vAlign w:val="bottom"/>
            <w:shd w:val="clear" w:color="auto" w:fill="E1E1E1"/>
          </w:tcPr>
          <w:p>
            <w:pPr>
              <w:spacing w:after="0"/>
              <w:rPr>
                <w:sz w:val="18"/>
                <w:szCs w:val="18"/>
                <w:color w:val="auto"/>
              </w:rPr>
            </w:pPr>
          </w:p>
        </w:tc>
        <w:tc>
          <w:tcPr>
            <w:tcW w:w="1100" w:type="dxa"/>
            <w:vAlign w:val="bottom"/>
            <w:shd w:val="clear" w:color="auto" w:fill="E1E1E1"/>
          </w:tcPr>
          <w:p>
            <w:pPr>
              <w:spacing w:after="0"/>
              <w:rPr>
                <w:sz w:val="18"/>
                <w:szCs w:val="18"/>
                <w:color w:val="auto"/>
              </w:rPr>
            </w:pPr>
          </w:p>
        </w:tc>
        <w:tc>
          <w:tcPr>
            <w:tcW w:w="280" w:type="dxa"/>
            <w:vAlign w:val="bottom"/>
            <w:shd w:val="clear" w:color="auto" w:fill="E1E1E1"/>
          </w:tcPr>
          <w:p>
            <w:pPr>
              <w:spacing w:after="0"/>
              <w:rPr>
                <w:sz w:val="18"/>
                <w:szCs w:val="18"/>
                <w:color w:val="auto"/>
              </w:rPr>
            </w:pPr>
          </w:p>
        </w:tc>
        <w:tc>
          <w:tcPr>
            <w:tcW w:w="260" w:type="dxa"/>
            <w:vAlign w:val="bottom"/>
            <w:shd w:val="clear" w:color="auto" w:fill="E1E1E1"/>
          </w:tcPr>
          <w:p>
            <w:pPr>
              <w:spacing w:after="0"/>
              <w:rPr>
                <w:sz w:val="18"/>
                <w:szCs w:val="18"/>
                <w:color w:val="auto"/>
              </w:rPr>
            </w:pPr>
          </w:p>
        </w:tc>
        <w:tc>
          <w:tcPr>
            <w:tcW w:w="940" w:type="dxa"/>
            <w:vAlign w:val="bottom"/>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Unbilled accounts receivable</w:t>
            </w:r>
          </w:p>
        </w:tc>
        <w:tc>
          <w:tcPr>
            <w:tcW w:w="160" w:type="dxa"/>
            <w:vAlign w:val="bottom"/>
            <w:shd w:val="clear" w:color="auto" w:fill="E1E1E1"/>
          </w:tcPr>
          <w:p>
            <w:pPr>
              <w:spacing w:after="0"/>
              <w:rPr>
                <w:sz w:val="21"/>
                <w:szCs w:val="21"/>
                <w:color w:val="auto"/>
              </w:rPr>
            </w:pPr>
          </w:p>
        </w:tc>
        <w:tc>
          <w:tcPr>
            <w:tcW w:w="4020" w:type="dxa"/>
            <w:vAlign w:val="bottom"/>
            <w:shd w:val="clear" w:color="auto" w:fill="E1E1E1"/>
          </w:tcPr>
          <w:p>
            <w:pPr>
              <w:ind w:left="160"/>
              <w:spacing w:after="0"/>
              <w:rPr>
                <w:sz w:val="20"/>
                <w:szCs w:val="20"/>
                <w:color w:val="auto"/>
              </w:rPr>
            </w:pPr>
            <w:r>
              <w:rPr>
                <w:rFonts w:ascii="Times New Roman" w:cs="Times New Roman" w:eastAsia="Times New Roman" w:hAnsi="Times New Roman"/>
                <w:sz w:val="20"/>
                <w:szCs w:val="20"/>
                <w:color w:val="1E1E1E"/>
              </w:rPr>
              <w:t>for doubtful accounts</w:t>
            </w:r>
          </w:p>
        </w:tc>
        <w:tc>
          <w:tcPr>
            <w:tcW w:w="26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340" w:type="dxa"/>
            <w:vAlign w:val="bottom"/>
            <w:shd w:val="clear" w:color="auto" w:fill="E1E1E1"/>
          </w:tcPr>
          <w:p>
            <w:pPr>
              <w:jc w:val="right"/>
              <w:ind w:right="14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10.3</w:t>
            </w:r>
          </w:p>
        </w:tc>
        <w:tc>
          <w:tcPr>
            <w:tcW w:w="6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3200" w:type="dxa"/>
            <w:vAlign w:val="bottom"/>
          </w:tcPr>
          <w:p>
            <w:pPr>
              <w:spacing w:after="0"/>
              <w:rPr>
                <w:sz w:val="21"/>
                <w:szCs w:val="21"/>
                <w:color w:val="auto"/>
              </w:rPr>
            </w:pPr>
          </w:p>
        </w:tc>
        <w:tc>
          <w:tcPr>
            <w:tcW w:w="4180" w:type="dxa"/>
            <w:vAlign w:val="bottom"/>
            <w:gridSpan w:val="2"/>
          </w:tcPr>
          <w:p>
            <w:pPr>
              <w:spacing w:after="0"/>
              <w:rPr>
                <w:sz w:val="21"/>
                <w:szCs w:val="21"/>
                <w:color w:val="auto"/>
              </w:rPr>
            </w:pPr>
          </w:p>
        </w:tc>
        <w:tc>
          <w:tcPr>
            <w:tcW w:w="760" w:type="dxa"/>
            <w:vAlign w:val="bottom"/>
            <w:gridSpan w:val="3"/>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32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Deferred revenue – current</w:t>
            </w:r>
          </w:p>
        </w:tc>
        <w:tc>
          <w:tcPr>
            <w:tcW w:w="4180" w:type="dxa"/>
            <w:vAlign w:val="bottom"/>
            <w:gridSpan w:val="2"/>
            <w:shd w:val="clear" w:color="auto" w:fill="E1E1E1"/>
          </w:tcPr>
          <w:p>
            <w:pPr>
              <w:ind w:left="160"/>
              <w:spacing w:after="0"/>
              <w:rPr>
                <w:sz w:val="20"/>
                <w:szCs w:val="20"/>
                <w:color w:val="auto"/>
              </w:rPr>
            </w:pPr>
            <w:r>
              <w:rPr>
                <w:rFonts w:ascii="Times New Roman" w:cs="Times New Roman" w:eastAsia="Times New Roman" w:hAnsi="Times New Roman"/>
                <w:sz w:val="20"/>
                <w:szCs w:val="20"/>
                <w:color w:val="1E1E1E"/>
              </w:rPr>
              <w:t>Accrued and other liabilities</w:t>
            </w:r>
          </w:p>
        </w:tc>
        <w:tc>
          <w:tcPr>
            <w:tcW w:w="760" w:type="dxa"/>
            <w:vAlign w:val="bottom"/>
            <w:gridSpan w:val="3"/>
            <w:shd w:val="clear" w:color="auto" w:fill="E1E1E1"/>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106.5</w:t>
            </w:r>
          </w:p>
        </w:tc>
        <w:tc>
          <w:tcPr>
            <w:tcW w:w="540" w:type="dxa"/>
            <w:vAlign w:val="bottom"/>
            <w:gridSpan w:val="2"/>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94.7</w:t>
            </w:r>
          </w:p>
        </w:tc>
        <w:tc>
          <w:tcPr>
            <w:tcW w:w="6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Deferred revenue – noncurrent</w:t>
            </w:r>
          </w:p>
        </w:tc>
        <w:tc>
          <w:tcPr>
            <w:tcW w:w="4180" w:type="dxa"/>
            <w:vAlign w:val="bottom"/>
            <w:tcBorders>
              <w:bottom w:val="single" w:sz="8" w:color="E1E1E1"/>
            </w:tcBorders>
            <w:gridSpan w:val="2"/>
          </w:tcPr>
          <w:p>
            <w:pPr>
              <w:ind w:left="160"/>
              <w:spacing w:after="0"/>
              <w:rPr>
                <w:sz w:val="20"/>
                <w:szCs w:val="20"/>
                <w:color w:val="auto"/>
              </w:rPr>
            </w:pPr>
            <w:r>
              <w:rPr>
                <w:rFonts w:ascii="Times New Roman" w:cs="Times New Roman" w:eastAsia="Times New Roman" w:hAnsi="Times New Roman"/>
                <w:sz w:val="20"/>
                <w:szCs w:val="20"/>
                <w:color w:val="1E1E1E"/>
              </w:rPr>
              <w:t>Other noncurrent liabilities</w:t>
            </w:r>
          </w:p>
        </w:tc>
        <w:tc>
          <w:tcPr>
            <w:tcW w:w="260" w:type="dxa"/>
            <w:vAlign w:val="bottom"/>
            <w:tcBorders>
              <w:bottom w:val="single" w:sz="8" w:color="E1E1E1"/>
            </w:tcBorders>
          </w:tcPr>
          <w:p>
            <w:pPr>
              <w:spacing w:after="0"/>
              <w:rPr>
                <w:sz w:val="21"/>
                <w:szCs w:val="21"/>
                <w:color w:val="auto"/>
              </w:rPr>
            </w:pPr>
          </w:p>
        </w:tc>
        <w:tc>
          <w:tcPr>
            <w:tcW w:w="160" w:type="dxa"/>
            <w:vAlign w:val="bottom"/>
            <w:tcBorders>
              <w:bottom w:val="single" w:sz="8" w:color="E1E1E1"/>
            </w:tcBorders>
          </w:tcPr>
          <w:p>
            <w:pPr>
              <w:spacing w:after="0"/>
              <w:rPr>
                <w:sz w:val="21"/>
                <w:szCs w:val="21"/>
                <w:color w:val="auto"/>
              </w:rPr>
            </w:pPr>
          </w:p>
        </w:tc>
        <w:tc>
          <w:tcPr>
            <w:tcW w:w="34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93.7</w:t>
            </w:r>
          </w:p>
        </w:tc>
        <w:tc>
          <w:tcPr>
            <w:tcW w:w="280" w:type="dxa"/>
            <w:vAlign w:val="bottom"/>
            <w:tcBorders>
              <w:bottom w:val="single" w:sz="8" w:color="E1E1E1"/>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84.2</w:t>
            </w:r>
          </w:p>
        </w:tc>
        <w:tc>
          <w:tcPr>
            <w:tcW w:w="6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00" w:type="dxa"/>
            <w:vAlign w:val="bottom"/>
            <w:shd w:val="clear" w:color="auto" w:fill="E1E1E1"/>
          </w:tcPr>
          <w:p>
            <w:pPr>
              <w:ind w:left="140"/>
              <w:spacing w:after="0"/>
              <w:rPr>
                <w:sz w:val="20"/>
                <w:szCs w:val="20"/>
                <w:color w:val="auto"/>
              </w:rPr>
            </w:pPr>
            <w:r>
              <w:rPr>
                <w:rFonts w:ascii="Times New Roman" w:cs="Times New Roman" w:eastAsia="Times New Roman" w:hAnsi="Times New Roman"/>
                <w:sz w:val="20"/>
                <w:szCs w:val="20"/>
                <w:color w:val="1E1E1E"/>
              </w:rPr>
              <w:t>Total contract liabilities</w:t>
            </w:r>
          </w:p>
        </w:tc>
        <w:tc>
          <w:tcPr>
            <w:tcW w:w="160" w:type="dxa"/>
            <w:vAlign w:val="bottom"/>
            <w:shd w:val="clear" w:color="auto" w:fill="E1E1E1"/>
          </w:tcPr>
          <w:p>
            <w:pPr>
              <w:spacing w:after="0"/>
              <w:rPr>
                <w:sz w:val="20"/>
                <w:szCs w:val="20"/>
                <w:color w:val="auto"/>
              </w:rPr>
            </w:pPr>
          </w:p>
        </w:tc>
        <w:tc>
          <w:tcPr>
            <w:tcW w:w="402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340" w:type="dxa"/>
            <w:vAlign w:val="bottom"/>
            <w:tcBorders>
              <w:bottom w:val="single" w:sz="8" w:color="1E1E1E"/>
            </w:tcBorders>
            <w:shd w:val="clear" w:color="auto" w:fill="E1E1E1"/>
          </w:tcPr>
          <w:p>
            <w:pPr>
              <w:jc w:val="right"/>
              <w:ind w:right="14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200.2</w:t>
            </w:r>
          </w:p>
        </w:tc>
        <w:tc>
          <w:tcPr>
            <w:tcW w:w="280" w:type="dxa"/>
            <w:vAlign w:val="bottom"/>
            <w:shd w:val="clear" w:color="auto" w:fill="E1E1E1"/>
          </w:tcPr>
          <w:p>
            <w:pPr>
              <w:spacing w:after="0"/>
              <w:rPr>
                <w:sz w:val="20"/>
                <w:szCs w:val="20"/>
                <w:color w:val="auto"/>
              </w:rPr>
            </w:pPr>
          </w:p>
        </w:tc>
        <w:tc>
          <w:tcPr>
            <w:tcW w:w="260" w:type="dxa"/>
            <w:vAlign w:val="bottom"/>
            <w:tcBorders>
              <w:bottom w:val="single" w:sz="8" w:color="1E1E1E"/>
            </w:tcBorders>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178.9</w:t>
            </w:r>
          </w:p>
        </w:tc>
        <w:tc>
          <w:tcPr>
            <w:tcW w:w="6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There were no material changes to contract asset balances for the year ended December 31, 2025 as a result of changes in estimates or impairments. The change in the contract liability balance from December 31, 2024 to December 31, 2025 was primarily due to upfront support billings to be recognized over the support term. During the year ended December 31, 2025, the Company recognized $98.2 million of revenue related to contract liabilities recorded as of December 31, 2024.</w:t>
      </w:r>
    </w:p>
    <w:p>
      <w:pPr>
        <w:spacing w:after="0" w:line="307" w:lineRule="exact"/>
        <w:rPr>
          <w:sz w:val="20"/>
          <w:szCs w:val="20"/>
          <w:color w:val="auto"/>
        </w:rPr>
      </w:pPr>
    </w:p>
    <w:p>
      <w:pPr>
        <w:ind w:left="400" w:hanging="400"/>
        <w:spacing w:after="0"/>
        <w:tabs>
          <w:tab w:leader="none" w:pos="400" w:val="left"/>
        </w:tabs>
        <w:numPr>
          <w:ilvl w:val="0"/>
          <w:numId w:val="5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LEASES</w:t>
      </w:r>
    </w:p>
    <w:p>
      <w:pPr>
        <w:spacing w:after="0" w:line="12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1E1E1E"/>
        </w:rPr>
        <w:t>The Company has operating type leases for real estate, equipment and vehicles both in the U.S. and internationally. As of December 31, 2025 and 2024, the Company had no finance type leases. Operating lease expense was $25.6 million, $26.5 million and $32.7 million for the years ended December 31, 2025, 2024 and 2023, respectively. Operating lease expense included period cost for short-term, cancellable and variable leases that were not included in lease liabilities of $4.6 million, $9.4 million and $16.7 million for the years ended December 31, 2025, 2024 and 2023, respectively.</w:t>
      </w:r>
    </w:p>
    <w:p>
      <w:pPr>
        <w:spacing w:after="0" w:line="197"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20"/>
          <w:szCs w:val="20"/>
          <w:color w:val="1E1E1E"/>
        </w:rPr>
        <w:t>The Company occasionally subleases all or a portion of certain unutilized real estate facilities. As of December 31, 2025, the Company’s sublease arrangements were classified as operating type leases and the income amounts were not material for the years ended December 31, 2025, 2024 and 2023, respectively.</w:t>
      </w:r>
    </w:p>
    <w:p>
      <w:pPr>
        <w:spacing w:after="0" w:line="185" w:lineRule="exact"/>
        <w:rPr>
          <w:sz w:val="20"/>
          <w:szCs w:val="20"/>
          <w:color w:val="auto"/>
        </w:rPr>
      </w:pPr>
    </w:p>
    <w:p>
      <w:pPr>
        <w:ind w:right="840"/>
        <w:spacing w:after="0" w:line="279" w:lineRule="auto"/>
        <w:rPr>
          <w:sz w:val="20"/>
          <w:szCs w:val="20"/>
          <w:color w:val="auto"/>
        </w:rPr>
      </w:pPr>
      <w:r>
        <w:rPr>
          <w:rFonts w:ascii="Times New Roman" w:cs="Times New Roman" w:eastAsia="Times New Roman" w:hAnsi="Times New Roman"/>
          <w:sz w:val="20"/>
          <w:szCs w:val="20"/>
          <w:color w:val="1E1E1E"/>
        </w:rPr>
        <w:t>Supplemental cash flow information related to operating leases, which includes both continuing operations and discontinued operations: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60" w:type="dxa"/>
            <w:vAlign w:val="bottom"/>
          </w:tcPr>
          <w:p>
            <w:pPr>
              <w:spacing w:after="0"/>
              <w:rPr>
                <w:sz w:val="17"/>
                <w:szCs w:val="17"/>
                <w:color w:val="auto"/>
              </w:rPr>
            </w:pPr>
          </w:p>
        </w:tc>
        <w:tc>
          <w:tcPr>
            <w:tcW w:w="800" w:type="dxa"/>
            <w:vAlign w:val="bottom"/>
            <w:tcBorders>
              <w:bottom w:val="single" w:sz="8" w:color="1E1E1E"/>
            </w:tcBorders>
          </w:tcPr>
          <w:p>
            <w:pPr>
              <w:spacing w:after="0"/>
              <w:rPr>
                <w:sz w:val="17"/>
                <w:szCs w:val="17"/>
                <w:color w:val="auto"/>
              </w:rPr>
            </w:pPr>
          </w:p>
        </w:tc>
        <w:tc>
          <w:tcPr>
            <w:tcW w:w="380" w:type="dxa"/>
            <w:vAlign w:val="bottom"/>
            <w:tcBorders>
              <w:bottom w:val="single" w:sz="8" w:color="1E1E1E"/>
            </w:tcBorders>
          </w:tcPr>
          <w:p>
            <w:pPr>
              <w:spacing w:after="0"/>
              <w:rPr>
                <w:sz w:val="17"/>
                <w:szCs w:val="17"/>
                <w:color w:val="auto"/>
              </w:rPr>
            </w:pPr>
          </w:p>
        </w:tc>
        <w:tc>
          <w:tcPr>
            <w:tcW w:w="1800" w:type="dxa"/>
            <w:vAlign w:val="bottom"/>
            <w:tcBorders>
              <w:bottom w:val="single" w:sz="8" w:color="1E1E1E"/>
            </w:tcBorders>
            <w:gridSpan w:val="5"/>
          </w:tcPr>
          <w:p>
            <w:pPr>
              <w:spacing w:after="0"/>
              <w:rPr>
                <w:sz w:val="20"/>
                <w:szCs w:val="20"/>
                <w:color w:val="auto"/>
              </w:rPr>
            </w:pPr>
            <w:r>
              <w:rPr>
                <w:rFonts w:ascii="Times New Roman" w:cs="Times New Roman" w:eastAsia="Times New Roman" w:hAnsi="Times New Roman"/>
                <w:sz w:val="16"/>
                <w:szCs w:val="16"/>
                <w:b w:val="1"/>
                <w:bCs w:val="1"/>
                <w:color w:val="1E1E1E"/>
                <w:w w:val="99"/>
              </w:rPr>
              <w:t>Year Ended December 31,</w:t>
            </w:r>
          </w:p>
        </w:tc>
        <w:tc>
          <w:tcPr>
            <w:tcW w:w="28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6560" w:type="dxa"/>
            <w:vAlign w:val="bottom"/>
            <w:tcBorders>
              <w:bottom w:val="single" w:sz="8" w:color="E1E1E1"/>
            </w:tcBorders>
          </w:tcPr>
          <w:p>
            <w:pPr>
              <w:spacing w:after="0"/>
              <w:rPr>
                <w:sz w:val="16"/>
                <w:szCs w:val="16"/>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80" w:type="dxa"/>
            <w:vAlign w:val="bottom"/>
            <w:tcBorders>
              <w:bottom w:val="single" w:sz="8" w:color="1E1E1E"/>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30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00" w:type="dxa"/>
            <w:vAlign w:val="bottom"/>
            <w:tcBorders>
              <w:bottom w:val="single" w:sz="8" w:color="E1E1E1"/>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60" w:type="dxa"/>
            <w:vAlign w:val="bottom"/>
            <w:tcBorders>
              <w:bottom w:val="single" w:sz="8" w:color="E1E1E1"/>
            </w:tcBorders>
          </w:tcPr>
          <w:p>
            <w:pPr>
              <w:spacing w:after="0"/>
              <w:rPr>
                <w:sz w:val="16"/>
                <w:szCs w:val="16"/>
                <w:color w:val="auto"/>
              </w:rPr>
            </w:pPr>
          </w:p>
        </w:tc>
      </w:tr>
      <w:tr>
        <w:trPr>
          <w:trHeight w:val="239"/>
        </w:trPr>
        <w:tc>
          <w:tcPr>
            <w:tcW w:w="65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cash paid to settle lease liabilities</w:t>
            </w:r>
          </w:p>
        </w:tc>
        <w:tc>
          <w:tcPr>
            <w:tcW w:w="800" w:type="dxa"/>
            <w:vAlign w:val="bottom"/>
            <w:shd w:val="clear" w:color="auto" w:fill="E1E1E1"/>
          </w:tcPr>
          <w:p>
            <w:pPr>
              <w:jc w:val="right"/>
              <w:ind w:right="610"/>
              <w:spacing w:after="0"/>
              <w:rPr>
                <w:sz w:val="20"/>
                <w:szCs w:val="20"/>
                <w:color w:val="auto"/>
              </w:rPr>
            </w:pPr>
            <w:r>
              <w:rPr>
                <w:rFonts w:ascii="Times New Roman" w:cs="Times New Roman" w:eastAsia="Times New Roman" w:hAnsi="Times New Roman"/>
                <w:sz w:val="20"/>
                <w:szCs w:val="20"/>
                <w:color w:val="1E1E1E"/>
                <w:w w:val="79"/>
              </w:rPr>
              <w:t>$</w:t>
            </w:r>
          </w:p>
        </w:tc>
        <w:tc>
          <w:tcPr>
            <w:tcW w:w="3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51.5</w:t>
            </w:r>
          </w:p>
        </w:tc>
        <w:tc>
          <w:tcPr>
            <w:tcW w:w="20" w:type="dxa"/>
            <w:vAlign w:val="bottom"/>
            <w:shd w:val="clear" w:color="auto" w:fill="E1E1E1"/>
          </w:tcPr>
          <w:p>
            <w:pPr>
              <w:spacing w:after="0"/>
              <w:rPr>
                <w:sz w:val="20"/>
                <w:szCs w:val="20"/>
                <w:color w:val="auto"/>
              </w:rPr>
            </w:pPr>
          </w:p>
        </w:tc>
        <w:tc>
          <w:tcPr>
            <w:tcW w:w="300" w:type="dxa"/>
            <w:vAlign w:val="bottom"/>
            <w:shd w:val="clear" w:color="auto" w:fill="E1E1E1"/>
          </w:tcPr>
          <w:p>
            <w:pPr>
              <w:spacing w:after="0"/>
              <w:rPr>
                <w:sz w:val="20"/>
                <w:szCs w:val="20"/>
                <w:color w:val="auto"/>
              </w:rPr>
            </w:pP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52.6</w:t>
            </w:r>
          </w:p>
        </w:tc>
        <w:tc>
          <w:tcPr>
            <w:tcW w:w="300" w:type="dxa"/>
            <w:vAlign w:val="bottom"/>
            <w:shd w:val="clear" w:color="auto" w:fill="E1E1E1"/>
          </w:tcPr>
          <w:p>
            <w:pPr>
              <w:spacing w:after="0"/>
              <w:rPr>
                <w:sz w:val="20"/>
                <w:szCs w:val="20"/>
                <w:color w:val="auto"/>
              </w:rPr>
            </w:pP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57.7</w:t>
            </w:r>
          </w:p>
        </w:tc>
        <w:tc>
          <w:tcPr>
            <w:tcW w:w="60" w:type="dxa"/>
            <w:vAlign w:val="bottom"/>
            <w:shd w:val="clear" w:color="auto" w:fill="E1E1E1"/>
          </w:tcPr>
          <w:p>
            <w:pPr>
              <w:spacing w:after="0"/>
              <w:rPr>
                <w:sz w:val="20"/>
                <w:szCs w:val="20"/>
                <w:color w:val="auto"/>
              </w:rPr>
            </w:pPr>
          </w:p>
        </w:tc>
      </w:tr>
      <w:tr>
        <w:trPr>
          <w:trHeight w:val="268"/>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1E1E1E"/>
              </w:rPr>
              <w:t>Right of use asset additions in exchange for lease liabilities</w:t>
            </w:r>
          </w:p>
        </w:tc>
        <w:tc>
          <w:tcPr>
            <w:tcW w:w="8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23.2</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25.9</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63.2</w:t>
            </w:r>
          </w:p>
        </w:tc>
        <w:tc>
          <w:tcPr>
            <w:tcW w:w="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82</w:t>
      </w:r>
    </w:p>
    <w:p>
      <w:pPr>
        <w:sectPr>
          <w:pgSz w:w="11880" w:h="15480" w:orient="portrait"/>
          <w:cols w:equalWidth="0" w:num="1">
            <w:col w:w="10800"/>
          </w:cols>
          <w:pgMar w:left="540" w:top="515" w:right="54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Supplemental balance sheet information related to operating leases: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700" w:type="dxa"/>
            <w:vAlign w:val="bottom"/>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1E1E1E"/>
              </w:rPr>
              <w:t>Balance Sheet Location</w:t>
            </w:r>
          </w:p>
        </w:tc>
        <w:tc>
          <w:tcPr>
            <w:tcW w:w="180" w:type="dxa"/>
            <w:vAlign w:val="bottom"/>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920" w:type="dxa"/>
            <w:vAlign w:val="bottom"/>
            <w:tcBorders>
              <w:bottom w:val="single" w:sz="8" w:color="1E1E1E"/>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80" w:type="dxa"/>
            <w:vAlign w:val="bottom"/>
            <w:tcBorders>
              <w:bottom w:val="single" w:sz="8" w:color="1E1E1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80" w:type="dxa"/>
            <w:vAlign w:val="bottom"/>
            <w:tcBorders>
              <w:bottom w:val="single" w:sz="8" w:color="E1E1E1"/>
            </w:tcBorders>
          </w:tcPr>
          <w:p>
            <w:pPr>
              <w:spacing w:after="0"/>
              <w:rPr>
                <w:sz w:val="16"/>
                <w:szCs w:val="16"/>
                <w:color w:val="auto"/>
              </w:rPr>
            </w:pPr>
          </w:p>
        </w:tc>
        <w:tc>
          <w:tcPr>
            <w:tcW w:w="2700" w:type="dxa"/>
            <w:vAlign w:val="bottom"/>
            <w:tcBorders>
              <w:bottom w:val="single" w:sz="8" w:color="1E1E1E"/>
            </w:tcBorders>
            <w:vMerge w:val="continue"/>
          </w:tcPr>
          <w:p>
            <w:pPr>
              <w:spacing w:after="0"/>
              <w:rPr>
                <w:sz w:val="16"/>
                <w:szCs w:val="16"/>
                <w:color w:val="auto"/>
              </w:rPr>
            </w:pPr>
          </w:p>
        </w:tc>
        <w:tc>
          <w:tcPr>
            <w:tcW w:w="180" w:type="dxa"/>
            <w:vAlign w:val="bottom"/>
            <w:tcBorders>
              <w:bottom w:val="single" w:sz="8" w:color="E1E1E1"/>
            </w:tcBorders>
          </w:tcPr>
          <w:p>
            <w:pPr>
              <w:spacing w:after="0"/>
              <w:rPr>
                <w:sz w:val="16"/>
                <w:szCs w:val="16"/>
                <w:color w:val="auto"/>
              </w:rPr>
            </w:pPr>
          </w:p>
        </w:tc>
        <w:tc>
          <w:tcPr>
            <w:tcW w:w="360" w:type="dxa"/>
            <w:vAlign w:val="bottom"/>
            <w:tcBorders>
              <w:bottom w:val="single" w:sz="8" w:color="1E1E1E"/>
            </w:tcBorders>
          </w:tcPr>
          <w:p>
            <w:pPr>
              <w:spacing w:after="0"/>
              <w:rPr>
                <w:sz w:val="16"/>
                <w:szCs w:val="16"/>
                <w:color w:val="auto"/>
              </w:rPr>
            </w:pPr>
          </w:p>
        </w:tc>
        <w:tc>
          <w:tcPr>
            <w:tcW w:w="1180" w:type="dxa"/>
            <w:vAlign w:val="bottom"/>
            <w:tcBorders>
              <w:bottom w:val="single" w:sz="8" w:color="1E1E1E"/>
            </w:tcBorders>
          </w:tcPr>
          <w:p>
            <w:pPr>
              <w:jc w:val="right"/>
              <w:ind w:right="52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80" w:type="dxa"/>
            <w:vAlign w:val="bottom"/>
            <w:tcBorders>
              <w:bottom w:val="single" w:sz="8" w:color="E1E1E1"/>
            </w:tcBorders>
          </w:tcPr>
          <w:p>
            <w:pPr>
              <w:spacing w:after="0"/>
              <w:rPr>
                <w:sz w:val="16"/>
                <w:szCs w:val="16"/>
                <w:color w:val="auto"/>
              </w:rPr>
            </w:pPr>
          </w:p>
        </w:tc>
        <w:tc>
          <w:tcPr>
            <w:tcW w:w="460" w:type="dxa"/>
            <w:vAlign w:val="bottom"/>
            <w:tcBorders>
              <w:bottom w:val="single" w:sz="8" w:color="1E1E1E"/>
            </w:tcBorders>
          </w:tcPr>
          <w:p>
            <w:pPr>
              <w:spacing w:after="0"/>
              <w:rPr>
                <w:sz w:val="16"/>
                <w:szCs w:val="16"/>
                <w:color w:val="auto"/>
              </w:rPr>
            </w:pPr>
          </w:p>
        </w:tc>
        <w:tc>
          <w:tcPr>
            <w:tcW w:w="1080" w:type="dxa"/>
            <w:vAlign w:val="bottom"/>
            <w:tcBorders>
              <w:bottom w:val="single" w:sz="8" w:color="1E1E1E"/>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Right of use assets</w:t>
            </w:r>
          </w:p>
        </w:tc>
        <w:tc>
          <w:tcPr>
            <w:tcW w:w="2700" w:type="dxa"/>
            <w:vAlign w:val="bottom"/>
            <w:shd w:val="clear" w:color="auto" w:fill="E1E1E1"/>
          </w:tcPr>
          <w:p>
            <w:pPr>
              <w:ind w:left="60"/>
              <w:spacing w:after="0"/>
              <w:rPr>
                <w:sz w:val="20"/>
                <w:szCs w:val="20"/>
                <w:color w:val="auto"/>
              </w:rPr>
            </w:pPr>
            <w:r>
              <w:rPr>
                <w:rFonts w:ascii="Times New Roman" w:cs="Times New Roman" w:eastAsia="Times New Roman" w:hAnsi="Times New Roman"/>
                <w:sz w:val="20"/>
                <w:szCs w:val="20"/>
                <w:color w:val="1E1E1E"/>
              </w:rPr>
              <w:t>Other noncurrent assets</w:t>
            </w:r>
          </w:p>
        </w:tc>
        <w:tc>
          <w:tcPr>
            <w:tcW w:w="180" w:type="dxa"/>
            <w:vAlign w:val="bottom"/>
            <w:shd w:val="clear" w:color="auto" w:fill="E1E1E1"/>
          </w:tcPr>
          <w:p>
            <w:pPr>
              <w:spacing w:after="0"/>
              <w:rPr>
                <w:sz w:val="20"/>
                <w:szCs w:val="20"/>
                <w:color w:val="auto"/>
              </w:rPr>
            </w:pPr>
          </w:p>
        </w:tc>
        <w:tc>
          <w:tcPr>
            <w:tcW w:w="360" w:type="dxa"/>
            <w:vAlign w:val="bottom"/>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57.1</w:t>
            </w:r>
          </w:p>
        </w:tc>
        <w:tc>
          <w:tcPr>
            <w:tcW w:w="280" w:type="dxa"/>
            <w:vAlign w:val="bottom"/>
            <w:shd w:val="clear" w:color="auto" w:fill="E1E1E1"/>
          </w:tcPr>
          <w:p>
            <w:pPr>
              <w:spacing w:after="0"/>
              <w:rPr>
                <w:sz w:val="20"/>
                <w:szCs w:val="20"/>
                <w:color w:val="auto"/>
              </w:rPr>
            </w:pPr>
          </w:p>
        </w:tc>
        <w:tc>
          <w:tcPr>
            <w:tcW w:w="460" w:type="dxa"/>
            <w:vAlign w:val="bottom"/>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61.3</w:t>
            </w:r>
          </w:p>
        </w:tc>
        <w:tc>
          <w:tcPr>
            <w:tcW w:w="6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44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44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Lease liabilities – current</w:t>
            </w:r>
          </w:p>
        </w:tc>
        <w:tc>
          <w:tcPr>
            <w:tcW w:w="2700" w:type="dxa"/>
            <w:vAlign w:val="bottom"/>
            <w:shd w:val="clear" w:color="auto" w:fill="E1E1E1"/>
          </w:tcPr>
          <w:p>
            <w:pPr>
              <w:ind w:left="60"/>
              <w:spacing w:after="0"/>
              <w:rPr>
                <w:sz w:val="20"/>
                <w:szCs w:val="20"/>
                <w:color w:val="auto"/>
              </w:rPr>
            </w:pPr>
            <w:r>
              <w:rPr>
                <w:rFonts w:ascii="Times New Roman" w:cs="Times New Roman" w:eastAsia="Times New Roman" w:hAnsi="Times New Roman"/>
                <w:sz w:val="20"/>
                <w:szCs w:val="20"/>
                <w:color w:val="1E1E1E"/>
              </w:rPr>
              <w:t>Accrued and other liabilities</w:t>
            </w:r>
          </w:p>
        </w:tc>
        <w:tc>
          <w:tcPr>
            <w:tcW w:w="540" w:type="dxa"/>
            <w:vAlign w:val="bottom"/>
            <w:gridSpan w:val="2"/>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13.9</w:t>
            </w:r>
          </w:p>
        </w:tc>
        <w:tc>
          <w:tcPr>
            <w:tcW w:w="740" w:type="dxa"/>
            <w:vAlign w:val="bottom"/>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14.8</w:t>
            </w:r>
          </w:p>
        </w:tc>
        <w:tc>
          <w:tcPr>
            <w:tcW w:w="6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Lease liabilities – noncurrent</w:t>
            </w:r>
          </w:p>
        </w:tc>
        <w:tc>
          <w:tcPr>
            <w:tcW w:w="2700" w:type="dxa"/>
            <w:vAlign w:val="bottom"/>
            <w:tcBorders>
              <w:bottom w:val="single" w:sz="8" w:color="E1E1E1"/>
            </w:tcBorders>
          </w:tcPr>
          <w:p>
            <w:pPr>
              <w:ind w:left="60"/>
              <w:spacing w:after="0"/>
              <w:rPr>
                <w:sz w:val="20"/>
                <w:szCs w:val="20"/>
                <w:color w:val="auto"/>
              </w:rPr>
            </w:pPr>
            <w:r>
              <w:rPr>
                <w:rFonts w:ascii="Times New Roman" w:cs="Times New Roman" w:eastAsia="Times New Roman" w:hAnsi="Times New Roman"/>
                <w:sz w:val="20"/>
                <w:szCs w:val="20"/>
                <w:color w:val="1E1E1E"/>
              </w:rPr>
              <w:t>Other noncurrent liabilities</w:t>
            </w:r>
          </w:p>
        </w:tc>
        <w:tc>
          <w:tcPr>
            <w:tcW w:w="180" w:type="dxa"/>
            <w:vAlign w:val="bottom"/>
            <w:tcBorders>
              <w:bottom w:val="single" w:sz="8" w:color="E1E1E1"/>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55.5</w:t>
            </w:r>
          </w:p>
        </w:tc>
        <w:tc>
          <w:tcPr>
            <w:tcW w:w="280" w:type="dxa"/>
            <w:vAlign w:val="bottom"/>
            <w:tcBorders>
              <w:bottom w:val="single" w:sz="8" w:color="E1E1E1"/>
            </w:tcBorders>
          </w:tcPr>
          <w:p>
            <w:pPr>
              <w:spacing w:after="0"/>
              <w:rPr>
                <w:sz w:val="21"/>
                <w:szCs w:val="21"/>
                <w:color w:val="auto"/>
              </w:rPr>
            </w:pPr>
          </w:p>
        </w:tc>
        <w:tc>
          <w:tcPr>
            <w:tcW w:w="460" w:type="dxa"/>
            <w:vAlign w:val="bottom"/>
            <w:tcBorders>
              <w:bottom w:val="single" w:sz="8" w:color="1E1E1E"/>
            </w:tcBorders>
          </w:tcPr>
          <w:p>
            <w:pPr>
              <w:spacing w:after="0"/>
              <w:rPr>
                <w:sz w:val="21"/>
                <w:szCs w:val="21"/>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58.5</w:t>
            </w:r>
          </w:p>
        </w:tc>
        <w:tc>
          <w:tcPr>
            <w:tcW w:w="6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lease liabilities</w:t>
            </w:r>
          </w:p>
        </w:tc>
        <w:tc>
          <w:tcPr>
            <w:tcW w:w="270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360" w:type="dxa"/>
            <w:vAlign w:val="bottom"/>
            <w:tcBorders>
              <w:bottom w:val="single" w:sz="8" w:color="1E1E1E"/>
            </w:tcBorders>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69.4</w:t>
            </w:r>
          </w:p>
        </w:tc>
        <w:tc>
          <w:tcPr>
            <w:tcW w:w="280" w:type="dxa"/>
            <w:vAlign w:val="bottom"/>
            <w:shd w:val="clear" w:color="auto" w:fill="E1E1E1"/>
          </w:tcPr>
          <w:p>
            <w:pPr>
              <w:spacing w:after="0"/>
              <w:rPr>
                <w:sz w:val="20"/>
                <w:szCs w:val="20"/>
                <w:color w:val="auto"/>
              </w:rPr>
            </w:pPr>
          </w:p>
        </w:tc>
        <w:tc>
          <w:tcPr>
            <w:tcW w:w="460" w:type="dxa"/>
            <w:vAlign w:val="bottom"/>
            <w:tcBorders>
              <w:bottom w:val="single" w:sz="8" w:color="1E1E1E"/>
            </w:tcBorders>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73.3</w:t>
            </w:r>
          </w:p>
        </w:tc>
        <w:tc>
          <w:tcPr>
            <w:tcW w:w="6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0" w:type="dxa"/>
            <w:vAlign w:val="bottom"/>
            <w:vMerge w:val="restart"/>
          </w:tcPr>
          <w:p>
            <w:pPr>
              <w:spacing w:after="0"/>
              <w:rPr>
                <w:sz w:val="24"/>
                <w:szCs w:val="24"/>
                <w:color w:val="auto"/>
              </w:rPr>
            </w:pPr>
          </w:p>
        </w:tc>
        <w:tc>
          <w:tcPr>
            <w:tcW w:w="4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44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Weighted average remaining lease term (in years)</w:t>
            </w:r>
          </w:p>
        </w:tc>
        <w:tc>
          <w:tcPr>
            <w:tcW w:w="27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36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460" w:type="dxa"/>
            <w:vAlign w:val="bottom"/>
            <w:shd w:val="clear" w:color="auto" w:fill="E1E1E1"/>
          </w:tcPr>
          <w:p>
            <w:pPr>
              <w:spacing w:after="0"/>
              <w:rPr>
                <w:sz w:val="21"/>
                <w:szCs w:val="21"/>
                <w:color w:val="auto"/>
              </w:rPr>
            </w:pPr>
          </w:p>
        </w:tc>
        <w:tc>
          <w:tcPr>
            <w:tcW w:w="1080" w:type="dxa"/>
            <w:vAlign w:val="bottom"/>
            <w:shd w:val="clear" w:color="auto" w:fill="E1E1E1"/>
          </w:tcPr>
          <w:p>
            <w:pPr>
              <w:ind w:left="660"/>
              <w:spacing w:after="0"/>
              <w:rPr>
                <w:sz w:val="20"/>
                <w:szCs w:val="20"/>
                <w:color w:val="auto"/>
              </w:rPr>
            </w:pPr>
            <w:r>
              <w:rPr>
                <w:rFonts w:ascii="Times New Roman" w:cs="Times New Roman" w:eastAsia="Times New Roman" w:hAnsi="Times New Roman"/>
                <w:sz w:val="20"/>
                <w:szCs w:val="20"/>
                <w:color w:val="1E1E1E"/>
              </w:rPr>
              <w:t>6.1</w:t>
            </w:r>
          </w:p>
        </w:tc>
        <w:tc>
          <w:tcPr>
            <w:tcW w:w="6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0"/>
                <w:szCs w:val="20"/>
                <w:color w:val="1E1E1E"/>
              </w:rPr>
              <w:t>Weighted average discount rate</w:t>
            </w:r>
          </w:p>
        </w:tc>
        <w:tc>
          <w:tcPr>
            <w:tcW w:w="2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1E1E1E"/>
              </w:rPr>
              <w:t>8.3%</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Future minimum lease payments under non-cancellable leases as of December 31, 2025 are as follows:</w:t>
      </w:r>
    </w:p>
    <w:p>
      <w:pPr>
        <w:spacing w:after="0" w:line="216" w:lineRule="exact"/>
        <w:rPr>
          <w:sz w:val="20"/>
          <w:szCs w:val="20"/>
          <w:color w:val="auto"/>
        </w:rPr>
      </w:pPr>
    </w:p>
    <w:tbl>
      <w:tblPr>
        <w:tblLayout w:type="fixed"/>
        <w:tblInd w:w="330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rPr>
              <w:t>Operating</w:t>
            </w:r>
          </w:p>
        </w:tc>
      </w:tr>
      <w:tr>
        <w:trPr>
          <w:trHeight w:val="204"/>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1E1E1E"/>
              </w:rPr>
              <w:t>Leases</w:t>
            </w:r>
          </w:p>
        </w:tc>
      </w:tr>
      <w:tr>
        <w:trPr>
          <w:trHeight w:val="239"/>
        </w:trPr>
        <w:tc>
          <w:tcPr>
            <w:tcW w:w="296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2026</w:t>
            </w:r>
          </w:p>
        </w:tc>
        <w:tc>
          <w:tcPr>
            <w:tcW w:w="16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19.5</w:t>
            </w:r>
          </w:p>
        </w:tc>
        <w:tc>
          <w:tcPr>
            <w:tcW w:w="80" w:type="dxa"/>
            <w:vAlign w:val="bottom"/>
            <w:tcBorders>
              <w:top w:val="single" w:sz="8" w:color="E1E1E1"/>
            </w:tcBorders>
            <w:shd w:val="clear" w:color="auto" w:fill="E1E1E1"/>
          </w:tcPr>
          <w:p>
            <w:pPr>
              <w:spacing w:after="0"/>
              <w:rPr>
                <w:sz w:val="20"/>
                <w:szCs w:val="20"/>
                <w:color w:val="auto"/>
              </w:rPr>
            </w:pPr>
          </w:p>
        </w:tc>
      </w:tr>
      <w:tr>
        <w:trPr>
          <w:trHeight w:val="244"/>
        </w:trPr>
        <w:tc>
          <w:tcPr>
            <w:tcW w:w="2960" w:type="dxa"/>
            <w:vAlign w:val="bottom"/>
          </w:tcPr>
          <w:p>
            <w:pPr>
              <w:spacing w:after="0"/>
              <w:rPr>
                <w:sz w:val="20"/>
                <w:szCs w:val="20"/>
                <w:color w:val="auto"/>
              </w:rPr>
            </w:pPr>
            <w:r>
              <w:rPr>
                <w:rFonts w:ascii="Times New Roman" w:cs="Times New Roman" w:eastAsia="Times New Roman" w:hAnsi="Times New Roman"/>
                <w:sz w:val="20"/>
                <w:szCs w:val="20"/>
                <w:color w:val="1E1E1E"/>
              </w:rPr>
              <w:t>2027</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14.6</w:t>
            </w:r>
          </w:p>
        </w:tc>
        <w:tc>
          <w:tcPr>
            <w:tcW w:w="80" w:type="dxa"/>
            <w:vAlign w:val="bottom"/>
          </w:tcPr>
          <w:p>
            <w:pPr>
              <w:spacing w:after="0"/>
              <w:rPr>
                <w:sz w:val="21"/>
                <w:szCs w:val="21"/>
                <w:color w:val="auto"/>
              </w:rPr>
            </w:pPr>
          </w:p>
        </w:tc>
      </w:tr>
      <w:tr>
        <w:trPr>
          <w:trHeight w:val="244"/>
        </w:trPr>
        <w:tc>
          <w:tcPr>
            <w:tcW w:w="29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2028</w:t>
            </w:r>
          </w:p>
        </w:tc>
        <w:tc>
          <w:tcPr>
            <w:tcW w:w="160" w:type="dxa"/>
            <w:vAlign w:val="bottom"/>
            <w:shd w:val="clear" w:color="auto" w:fill="E1E1E1"/>
          </w:tcPr>
          <w:p>
            <w:pPr>
              <w:spacing w:after="0"/>
              <w:rPr>
                <w:sz w:val="21"/>
                <w:szCs w:val="21"/>
                <w:color w:val="auto"/>
              </w:rPr>
            </w:pPr>
          </w:p>
        </w:tc>
        <w:tc>
          <w:tcPr>
            <w:tcW w:w="10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11.5</w:t>
            </w:r>
          </w:p>
        </w:tc>
        <w:tc>
          <w:tcPr>
            <w:tcW w:w="80" w:type="dxa"/>
            <w:vAlign w:val="bottom"/>
            <w:shd w:val="clear" w:color="auto" w:fill="E1E1E1"/>
          </w:tcPr>
          <w:p>
            <w:pPr>
              <w:spacing w:after="0"/>
              <w:rPr>
                <w:sz w:val="21"/>
                <w:szCs w:val="21"/>
                <w:color w:val="auto"/>
              </w:rPr>
            </w:pPr>
          </w:p>
        </w:tc>
      </w:tr>
      <w:tr>
        <w:trPr>
          <w:trHeight w:val="244"/>
        </w:trPr>
        <w:tc>
          <w:tcPr>
            <w:tcW w:w="2960" w:type="dxa"/>
            <w:vAlign w:val="bottom"/>
          </w:tcPr>
          <w:p>
            <w:pPr>
              <w:spacing w:after="0"/>
              <w:rPr>
                <w:sz w:val="20"/>
                <w:szCs w:val="20"/>
                <w:color w:val="auto"/>
              </w:rPr>
            </w:pPr>
            <w:r>
              <w:rPr>
                <w:rFonts w:ascii="Times New Roman" w:cs="Times New Roman" w:eastAsia="Times New Roman" w:hAnsi="Times New Roman"/>
                <w:sz w:val="20"/>
                <w:szCs w:val="20"/>
                <w:color w:val="1E1E1E"/>
              </w:rPr>
              <w:t>2029</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10.7</w:t>
            </w:r>
          </w:p>
        </w:tc>
        <w:tc>
          <w:tcPr>
            <w:tcW w:w="80" w:type="dxa"/>
            <w:vAlign w:val="bottom"/>
          </w:tcPr>
          <w:p>
            <w:pPr>
              <w:spacing w:after="0"/>
              <w:rPr>
                <w:sz w:val="21"/>
                <w:szCs w:val="21"/>
                <w:color w:val="auto"/>
              </w:rPr>
            </w:pPr>
          </w:p>
        </w:tc>
      </w:tr>
      <w:tr>
        <w:trPr>
          <w:trHeight w:val="244"/>
        </w:trPr>
        <w:tc>
          <w:tcPr>
            <w:tcW w:w="29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2030</w:t>
            </w:r>
          </w:p>
        </w:tc>
        <w:tc>
          <w:tcPr>
            <w:tcW w:w="160" w:type="dxa"/>
            <w:vAlign w:val="bottom"/>
            <w:shd w:val="clear" w:color="auto" w:fill="E1E1E1"/>
          </w:tcPr>
          <w:p>
            <w:pPr>
              <w:spacing w:after="0"/>
              <w:rPr>
                <w:sz w:val="21"/>
                <w:szCs w:val="21"/>
                <w:color w:val="auto"/>
              </w:rPr>
            </w:pPr>
          </w:p>
        </w:tc>
        <w:tc>
          <w:tcPr>
            <w:tcW w:w="10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80" w:type="dxa"/>
            <w:vAlign w:val="bottom"/>
            <w:shd w:val="clear" w:color="auto" w:fill="E1E1E1"/>
          </w:tcPr>
          <w:p>
            <w:pPr>
              <w:spacing w:after="0"/>
              <w:rPr>
                <w:sz w:val="21"/>
                <w:szCs w:val="21"/>
                <w:color w:val="auto"/>
              </w:rPr>
            </w:pPr>
          </w:p>
        </w:tc>
      </w:tr>
      <w:tr>
        <w:trPr>
          <w:trHeight w:val="244"/>
        </w:trPr>
        <w:tc>
          <w:tcPr>
            <w:tcW w:w="296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16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21.9</w:t>
            </w:r>
          </w:p>
        </w:tc>
        <w:tc>
          <w:tcPr>
            <w:tcW w:w="80" w:type="dxa"/>
            <w:vAlign w:val="bottom"/>
            <w:tcBorders>
              <w:bottom w:val="single" w:sz="8" w:color="E1E1E1"/>
            </w:tcBorders>
          </w:tcPr>
          <w:p>
            <w:pPr>
              <w:spacing w:after="0"/>
              <w:rPr>
                <w:sz w:val="21"/>
                <w:szCs w:val="21"/>
                <w:color w:val="auto"/>
              </w:rPr>
            </w:pPr>
          </w:p>
        </w:tc>
      </w:tr>
      <w:tr>
        <w:trPr>
          <w:trHeight w:val="239"/>
        </w:trPr>
        <w:tc>
          <w:tcPr>
            <w:tcW w:w="29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minimum lease payments</w:t>
            </w:r>
          </w:p>
        </w:tc>
        <w:tc>
          <w:tcPr>
            <w:tcW w:w="160" w:type="dxa"/>
            <w:vAlign w:val="bottom"/>
            <w:tcBorders>
              <w:bottom w:val="single" w:sz="8" w:color="1E1E1E"/>
            </w:tcBorders>
            <w:shd w:val="clear" w:color="auto" w:fill="E1E1E1"/>
          </w:tcPr>
          <w:p>
            <w:pPr>
              <w:spacing w:after="0"/>
              <w:rPr>
                <w:sz w:val="20"/>
                <w:szCs w:val="20"/>
                <w:color w:val="auto"/>
              </w:rPr>
            </w:pPr>
          </w:p>
        </w:tc>
        <w:tc>
          <w:tcPr>
            <w:tcW w:w="10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87.6</w:t>
            </w:r>
          </w:p>
        </w:tc>
        <w:tc>
          <w:tcPr>
            <w:tcW w:w="80" w:type="dxa"/>
            <w:vAlign w:val="bottom"/>
            <w:shd w:val="clear" w:color="auto" w:fill="E1E1E1"/>
          </w:tcPr>
          <w:p>
            <w:pPr>
              <w:spacing w:after="0"/>
              <w:rPr>
                <w:sz w:val="20"/>
                <w:szCs w:val="20"/>
                <w:color w:val="auto"/>
              </w:rPr>
            </w:pPr>
          </w:p>
        </w:tc>
      </w:tr>
      <w:tr>
        <w:trPr>
          <w:trHeight w:val="239"/>
        </w:trPr>
        <w:tc>
          <w:tcPr>
            <w:tcW w:w="2960" w:type="dxa"/>
            <w:vAlign w:val="bottom"/>
          </w:tcPr>
          <w:p>
            <w:pPr>
              <w:spacing w:after="0"/>
              <w:rPr>
                <w:sz w:val="20"/>
                <w:szCs w:val="20"/>
                <w:color w:val="auto"/>
              </w:rPr>
            </w:pPr>
            <w:r>
              <w:rPr>
                <w:rFonts w:ascii="Times New Roman" w:cs="Times New Roman" w:eastAsia="Times New Roman" w:hAnsi="Times New Roman"/>
                <w:sz w:val="20"/>
                <w:szCs w:val="20"/>
                <w:color w:val="1E1E1E"/>
              </w:rPr>
              <w:t>Less: imputed interest</w:t>
            </w: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(18.2)</w:t>
            </w:r>
          </w:p>
        </w:tc>
      </w:tr>
      <w:tr>
        <w:trPr>
          <w:trHeight w:val="239"/>
        </w:trPr>
        <w:tc>
          <w:tcPr>
            <w:tcW w:w="296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w:t>
            </w:r>
          </w:p>
        </w:tc>
        <w:tc>
          <w:tcPr>
            <w:tcW w:w="16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69.4</w:t>
            </w:r>
          </w:p>
        </w:tc>
        <w:tc>
          <w:tcPr>
            <w:tcW w:w="80" w:type="dxa"/>
            <w:vAlign w:val="bottom"/>
            <w:tcBorders>
              <w:top w:val="single" w:sz="8" w:color="E1E1E1"/>
            </w:tcBorders>
            <w:shd w:val="clear" w:color="auto" w:fill="E1E1E1"/>
          </w:tcPr>
          <w:p>
            <w:pPr>
              <w:spacing w:after="0"/>
              <w:rPr>
                <w:sz w:val="20"/>
                <w:szCs w:val="20"/>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ind w:right="4920"/>
        <w:spacing w:after="0" w:line="412" w:lineRule="auto"/>
        <w:tabs>
          <w:tab w:leader="none" w:pos="200" w:val="left"/>
        </w:tabs>
        <w:numPr>
          <w:ilvl w:val="0"/>
          <w:numId w:val="56"/>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SUPPLEMENTAL FINANCIAL STATEMENT INFORMATION Inventories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2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420" w:type="dxa"/>
            <w:vAlign w:val="bottom"/>
            <w:tcBorders>
              <w:bottom w:val="single" w:sz="8" w:color="1E1E1E"/>
            </w:tcBorders>
          </w:tcPr>
          <w:p>
            <w:pPr>
              <w:spacing w:after="0"/>
              <w:rPr>
                <w:sz w:val="17"/>
                <w:szCs w:val="17"/>
                <w:color w:val="auto"/>
              </w:rPr>
            </w:pPr>
          </w:p>
        </w:tc>
        <w:tc>
          <w:tcPr>
            <w:tcW w:w="2620" w:type="dxa"/>
            <w:vAlign w:val="bottom"/>
            <w:tcBorders>
              <w:bottom w:val="single" w:sz="8" w:color="1E1E1E"/>
            </w:tcBorders>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540" w:type="dxa"/>
            <w:vAlign w:val="bottom"/>
            <w:tcBorders>
              <w:bottom w:val="single" w:sz="8" w:color="1E1E1E"/>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20" w:type="dxa"/>
            <w:vAlign w:val="bottom"/>
            <w:tcBorders>
              <w:bottom w:val="single" w:sz="8" w:color="E1E1E1"/>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420" w:type="dxa"/>
            <w:vAlign w:val="bottom"/>
            <w:tcBorders>
              <w:bottom w:val="single" w:sz="8" w:color="1E1E1E"/>
            </w:tcBorders>
          </w:tcPr>
          <w:p>
            <w:pPr>
              <w:spacing w:after="0"/>
              <w:rPr>
                <w:sz w:val="16"/>
                <w:szCs w:val="16"/>
                <w:color w:val="auto"/>
              </w:rPr>
            </w:pPr>
          </w:p>
        </w:tc>
        <w:tc>
          <w:tcPr>
            <w:tcW w:w="1600" w:type="dxa"/>
            <w:vAlign w:val="bottom"/>
            <w:tcBorders>
              <w:bottom w:val="single" w:sz="8" w:color="1E1E1E"/>
            </w:tcBorders>
          </w:tcPr>
          <w:p>
            <w:pPr>
              <w:jc w:val="right"/>
              <w:ind w:right="86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0" w:type="dxa"/>
            <w:vAlign w:val="bottom"/>
            <w:tcBorders>
              <w:bottom w:val="single" w:sz="8" w:color="E1E1E1"/>
            </w:tcBorders>
          </w:tcPr>
          <w:p>
            <w:pPr>
              <w:spacing w:after="0"/>
              <w:rPr>
                <w:sz w:val="16"/>
                <w:szCs w:val="16"/>
                <w:color w:val="auto"/>
              </w:rPr>
            </w:pPr>
          </w:p>
        </w:tc>
        <w:tc>
          <w:tcPr>
            <w:tcW w:w="180" w:type="dxa"/>
            <w:vAlign w:val="bottom"/>
            <w:tcBorders>
              <w:bottom w:val="single" w:sz="8" w:color="E1E1E1"/>
            </w:tcBorders>
          </w:tcPr>
          <w:p>
            <w:pPr>
              <w:spacing w:after="0"/>
              <w:rPr>
                <w:sz w:val="16"/>
                <w:szCs w:val="16"/>
                <w:color w:val="auto"/>
              </w:rPr>
            </w:pPr>
          </w:p>
        </w:tc>
        <w:tc>
          <w:tcPr>
            <w:tcW w:w="140" w:type="dxa"/>
            <w:vAlign w:val="bottom"/>
            <w:tcBorders>
              <w:bottom w:val="single" w:sz="8" w:color="E1E1E1"/>
            </w:tcBorders>
          </w:tcPr>
          <w:p>
            <w:pPr>
              <w:spacing w:after="0"/>
              <w:rPr>
                <w:sz w:val="16"/>
                <w:szCs w:val="16"/>
                <w:color w:val="auto"/>
              </w:rPr>
            </w:pPr>
          </w:p>
        </w:tc>
        <w:tc>
          <w:tcPr>
            <w:tcW w:w="60" w:type="dxa"/>
            <w:vAlign w:val="bottom"/>
            <w:tcBorders>
              <w:bottom w:val="single" w:sz="8" w:color="1E1E1E"/>
            </w:tcBorders>
          </w:tcPr>
          <w:p>
            <w:pPr>
              <w:spacing w:after="0"/>
              <w:rPr>
                <w:sz w:val="16"/>
                <w:szCs w:val="16"/>
                <w:color w:val="auto"/>
              </w:rPr>
            </w:pPr>
          </w:p>
        </w:tc>
        <w:tc>
          <w:tcPr>
            <w:tcW w:w="580" w:type="dxa"/>
            <w:vAlign w:val="bottom"/>
            <w:tcBorders>
              <w:bottom w:val="single" w:sz="8" w:color="1E1E1E"/>
            </w:tcBorders>
          </w:tcPr>
          <w:p>
            <w:pPr>
              <w:spacing w:after="0"/>
              <w:rPr>
                <w:sz w:val="16"/>
                <w:szCs w:val="16"/>
                <w:color w:val="auto"/>
              </w:rPr>
            </w:pPr>
          </w:p>
        </w:tc>
        <w:tc>
          <w:tcPr>
            <w:tcW w:w="1540" w:type="dxa"/>
            <w:vAlign w:val="bottom"/>
            <w:tcBorders>
              <w:bottom w:val="single" w:sz="8" w:color="1E1E1E"/>
            </w:tcBorders>
          </w:tcPr>
          <w:p>
            <w:pPr>
              <w:jc w:val="right"/>
              <w:ind w:right="84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0" w:type="dxa"/>
            <w:vAlign w:val="bottom"/>
            <w:tcBorders>
              <w:bottom w:val="single" w:sz="8" w:color="1E1E1E"/>
            </w:tcBorders>
          </w:tcPr>
          <w:p>
            <w:pPr>
              <w:spacing w:after="0"/>
              <w:rPr>
                <w:sz w:val="16"/>
                <w:szCs w:val="16"/>
                <w:color w:val="auto"/>
              </w:rPr>
            </w:pPr>
          </w:p>
        </w:tc>
        <w:tc>
          <w:tcPr>
            <w:tcW w:w="6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Raw materials</w:t>
            </w:r>
          </w:p>
        </w:tc>
        <w:tc>
          <w:tcPr>
            <w:tcW w:w="220" w:type="dxa"/>
            <w:vAlign w:val="bottom"/>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420" w:type="dxa"/>
            <w:vAlign w:val="bottom"/>
            <w:shd w:val="clear" w:color="auto" w:fill="E1E1E1"/>
          </w:tcPr>
          <w:p>
            <w:pPr>
              <w:spacing w:after="0"/>
              <w:rPr>
                <w:sz w:val="20"/>
                <w:szCs w:val="20"/>
                <w:color w:val="auto"/>
              </w:rPr>
            </w:pPr>
          </w:p>
        </w:tc>
        <w:tc>
          <w:tcPr>
            <w:tcW w:w="16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133.7</w:t>
            </w:r>
          </w:p>
        </w:tc>
        <w:tc>
          <w:tcPr>
            <w:tcW w:w="6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140" w:type="dxa"/>
            <w:vAlign w:val="bottom"/>
            <w:shd w:val="clear" w:color="auto" w:fill="E1E1E1"/>
          </w:tcPr>
          <w:p>
            <w:pPr>
              <w:spacing w:after="0"/>
              <w:rPr>
                <w:sz w:val="20"/>
                <w:szCs w:val="20"/>
                <w:color w:val="auto"/>
              </w:rPr>
            </w:pPr>
          </w:p>
        </w:tc>
        <w:tc>
          <w:tcPr>
            <w:tcW w:w="640" w:type="dxa"/>
            <w:vAlign w:val="bottom"/>
            <w:gridSpan w:val="2"/>
            <w:shd w:val="clear" w:color="auto" w:fill="E1E1E1"/>
          </w:tcPr>
          <w:p>
            <w:pPr>
              <w:jc w:val="right"/>
              <w:ind w:right="440"/>
              <w:spacing w:after="0"/>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206.3</w:t>
            </w:r>
          </w:p>
        </w:tc>
        <w:tc>
          <w:tcPr>
            <w:tcW w:w="6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1E1E1E"/>
              </w:rPr>
              <w:t>Work in process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Finished goods</w:t>
            </w:r>
          </w:p>
        </w:tc>
        <w:tc>
          <w:tcPr>
            <w:tcW w:w="220" w:type="dxa"/>
            <w:vAlign w:val="bottom"/>
            <w:tcBorders>
              <w:bottom w:val="single" w:sz="8" w:color="1E1E1E"/>
            </w:tcBorders>
            <w:shd w:val="clear" w:color="auto" w:fill="E1E1E1"/>
          </w:tcPr>
          <w:p>
            <w:pPr>
              <w:spacing w:after="0"/>
              <w:rPr>
                <w:sz w:val="21"/>
                <w:szCs w:val="21"/>
                <w:color w:val="auto"/>
              </w:rPr>
            </w:pPr>
          </w:p>
        </w:tc>
        <w:tc>
          <w:tcPr>
            <w:tcW w:w="420" w:type="dxa"/>
            <w:vAlign w:val="bottom"/>
            <w:tcBorders>
              <w:bottom w:val="single" w:sz="8" w:color="1E1E1E"/>
            </w:tcBorders>
            <w:shd w:val="clear" w:color="auto" w:fill="E1E1E1"/>
          </w:tcPr>
          <w:p>
            <w:pPr>
              <w:spacing w:after="0"/>
              <w:rPr>
                <w:sz w:val="21"/>
                <w:szCs w:val="21"/>
                <w:color w:val="auto"/>
              </w:rPr>
            </w:pPr>
          </w:p>
        </w:tc>
        <w:tc>
          <w:tcPr>
            <w:tcW w:w="16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138.6</w:t>
            </w:r>
          </w:p>
        </w:tc>
        <w:tc>
          <w:tcPr>
            <w:tcW w:w="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60" w:type="dxa"/>
            <w:vAlign w:val="bottom"/>
            <w:tcBorders>
              <w:bottom w:val="single" w:sz="8" w:color="1E1E1E"/>
            </w:tcBorders>
            <w:shd w:val="clear" w:color="auto" w:fill="E1E1E1"/>
          </w:tcPr>
          <w:p>
            <w:pPr>
              <w:spacing w:after="0"/>
              <w:rPr>
                <w:sz w:val="21"/>
                <w:szCs w:val="21"/>
                <w:color w:val="auto"/>
              </w:rPr>
            </w:pPr>
          </w:p>
        </w:tc>
        <w:tc>
          <w:tcPr>
            <w:tcW w:w="580" w:type="dxa"/>
            <w:vAlign w:val="bottom"/>
            <w:tcBorders>
              <w:bottom w:val="single" w:sz="8" w:color="1E1E1E"/>
            </w:tcBorders>
            <w:shd w:val="clear" w:color="auto" w:fill="E1E1E1"/>
          </w:tcPr>
          <w:p>
            <w:pPr>
              <w:spacing w:after="0"/>
              <w:rPr>
                <w:sz w:val="21"/>
                <w:szCs w:val="21"/>
                <w:color w:val="auto"/>
              </w:rPr>
            </w:pPr>
          </w:p>
        </w:tc>
        <w:tc>
          <w:tcPr>
            <w:tcW w:w="1560" w:type="dxa"/>
            <w:vAlign w:val="bottom"/>
            <w:tcBorders>
              <w:bottom w:val="single" w:sz="8" w:color="1E1E1E"/>
            </w:tcBorders>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155.1</w:t>
            </w:r>
          </w:p>
        </w:tc>
        <w:tc>
          <w:tcPr>
            <w:tcW w:w="6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1E1E1E"/>
              </w:rPr>
              <w:t>Total inventories, net</w:t>
            </w:r>
          </w:p>
        </w:tc>
        <w:tc>
          <w:tcPr>
            <w:tcW w:w="22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420" w:type="dxa"/>
            <w:vAlign w:val="bottom"/>
            <w:tcBorders>
              <w:bottom w:val="single" w:sz="8" w:color="1E1E1E"/>
            </w:tcBorders>
          </w:tcPr>
          <w:p>
            <w:pPr>
              <w:spacing w:after="0"/>
              <w:rPr>
                <w:sz w:val="20"/>
                <w:szCs w:val="20"/>
                <w:color w:val="auto"/>
              </w:rPr>
            </w:pPr>
          </w:p>
        </w:tc>
        <w:tc>
          <w:tcPr>
            <w:tcW w:w="16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310.4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1E1E1E"/>
            </w:tcBorders>
            <w:gridSpan w:val="2"/>
          </w:tcPr>
          <w:p>
            <w:pPr>
              <w:jc w:val="right"/>
              <w:ind w:right="440"/>
              <w:spacing w:after="0"/>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403.0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Property, Plant and Equipment</w:t>
            </w:r>
          </w:p>
        </w:tc>
        <w:tc>
          <w:tcPr>
            <w:tcW w:w="220" w:type="dxa"/>
            <w:vAlign w:val="bottom"/>
            <w:tcBorders>
              <w:bottom w:val="single" w:sz="8" w:color="1E1E1E"/>
            </w:tcBorders>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160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154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1E1E1E"/>
            </w:tcBorders>
          </w:tcPr>
          <w:p>
            <w:pPr>
              <w:spacing w:after="0"/>
              <w:rPr>
                <w:sz w:val="24"/>
                <w:szCs w:val="24"/>
                <w:color w:val="auto"/>
              </w:rPr>
            </w:pPr>
          </w:p>
        </w:tc>
        <w:tc>
          <w:tcPr>
            <w:tcW w:w="2620" w:type="dxa"/>
            <w:vAlign w:val="bottom"/>
            <w:tcBorders>
              <w:bottom w:val="single" w:sz="8" w:color="1E1E1E"/>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540" w:type="dxa"/>
            <w:vAlign w:val="bottom"/>
            <w:tcBorders>
              <w:bottom w:val="single" w:sz="8" w:color="1E1E1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920" w:type="dxa"/>
            <w:vAlign w:val="bottom"/>
            <w:tcBorders>
              <w:bottom w:val="single" w:sz="8" w:color="E1E1E1"/>
            </w:tcBorders>
          </w:tcPr>
          <w:p>
            <w:pPr>
              <w:spacing w:after="0"/>
              <w:rPr>
                <w:sz w:val="16"/>
                <w:szCs w:val="16"/>
                <w:color w:val="auto"/>
              </w:rPr>
            </w:pPr>
          </w:p>
        </w:tc>
        <w:tc>
          <w:tcPr>
            <w:tcW w:w="220" w:type="dxa"/>
            <w:vAlign w:val="bottom"/>
            <w:tcBorders>
              <w:bottom w:val="single" w:sz="8" w:color="E1E1E1"/>
            </w:tcBorders>
          </w:tcPr>
          <w:p>
            <w:pPr>
              <w:spacing w:after="0"/>
              <w:rPr>
                <w:sz w:val="16"/>
                <w:szCs w:val="16"/>
                <w:color w:val="auto"/>
              </w:rPr>
            </w:pPr>
          </w:p>
        </w:tc>
        <w:tc>
          <w:tcPr>
            <w:tcW w:w="420" w:type="dxa"/>
            <w:vAlign w:val="bottom"/>
            <w:tcBorders>
              <w:bottom w:val="single" w:sz="8" w:color="1E1E1E"/>
            </w:tcBorders>
          </w:tcPr>
          <w:p>
            <w:pPr>
              <w:spacing w:after="0"/>
              <w:rPr>
                <w:sz w:val="16"/>
                <w:szCs w:val="16"/>
                <w:color w:val="auto"/>
              </w:rPr>
            </w:pPr>
          </w:p>
        </w:tc>
        <w:tc>
          <w:tcPr>
            <w:tcW w:w="1600" w:type="dxa"/>
            <w:vAlign w:val="bottom"/>
            <w:tcBorders>
              <w:bottom w:val="single" w:sz="8" w:color="1E1E1E"/>
            </w:tcBorders>
          </w:tcPr>
          <w:p>
            <w:pPr>
              <w:jc w:val="right"/>
              <w:ind w:right="72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0" w:type="dxa"/>
            <w:vAlign w:val="bottom"/>
            <w:tcBorders>
              <w:bottom w:val="single" w:sz="8" w:color="1E1E1E"/>
            </w:tcBorders>
          </w:tcPr>
          <w:p>
            <w:pPr>
              <w:spacing w:after="0"/>
              <w:rPr>
                <w:sz w:val="16"/>
                <w:szCs w:val="16"/>
                <w:color w:val="auto"/>
              </w:rPr>
            </w:pPr>
          </w:p>
        </w:tc>
        <w:tc>
          <w:tcPr>
            <w:tcW w:w="180" w:type="dxa"/>
            <w:vAlign w:val="bottom"/>
            <w:tcBorders>
              <w:bottom w:val="single" w:sz="8" w:color="E1E1E1"/>
            </w:tcBorders>
          </w:tcPr>
          <w:p>
            <w:pPr>
              <w:spacing w:after="0"/>
              <w:rPr>
                <w:sz w:val="16"/>
                <w:szCs w:val="16"/>
                <w:color w:val="auto"/>
              </w:rPr>
            </w:pPr>
          </w:p>
        </w:tc>
        <w:tc>
          <w:tcPr>
            <w:tcW w:w="140" w:type="dxa"/>
            <w:vAlign w:val="bottom"/>
            <w:tcBorders>
              <w:bottom w:val="single" w:sz="8" w:color="E1E1E1"/>
            </w:tcBorders>
          </w:tcPr>
          <w:p>
            <w:pPr>
              <w:spacing w:after="0"/>
              <w:rPr>
                <w:sz w:val="16"/>
                <w:szCs w:val="16"/>
                <w:color w:val="auto"/>
              </w:rPr>
            </w:pPr>
          </w:p>
        </w:tc>
        <w:tc>
          <w:tcPr>
            <w:tcW w:w="60" w:type="dxa"/>
            <w:vAlign w:val="bottom"/>
            <w:tcBorders>
              <w:bottom w:val="single" w:sz="8" w:color="E1E1E1"/>
            </w:tcBorders>
          </w:tcPr>
          <w:p>
            <w:pPr>
              <w:spacing w:after="0"/>
              <w:rPr>
                <w:sz w:val="16"/>
                <w:szCs w:val="16"/>
                <w:color w:val="auto"/>
              </w:rPr>
            </w:pPr>
          </w:p>
        </w:tc>
        <w:tc>
          <w:tcPr>
            <w:tcW w:w="580" w:type="dxa"/>
            <w:vAlign w:val="bottom"/>
            <w:tcBorders>
              <w:bottom w:val="single" w:sz="8" w:color="1E1E1E"/>
            </w:tcBorders>
          </w:tcPr>
          <w:p>
            <w:pPr>
              <w:spacing w:after="0"/>
              <w:rPr>
                <w:sz w:val="16"/>
                <w:szCs w:val="16"/>
                <w:color w:val="auto"/>
              </w:rPr>
            </w:pPr>
          </w:p>
        </w:tc>
        <w:tc>
          <w:tcPr>
            <w:tcW w:w="1540" w:type="dxa"/>
            <w:vAlign w:val="bottom"/>
            <w:tcBorders>
              <w:bottom w:val="single" w:sz="8" w:color="1E1E1E"/>
            </w:tcBorders>
          </w:tcPr>
          <w:p>
            <w:pPr>
              <w:jc w:val="right"/>
              <w:ind w:right="82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0" w:type="dxa"/>
            <w:vAlign w:val="bottom"/>
            <w:tcBorders>
              <w:bottom w:val="single" w:sz="8" w:color="E1E1E1"/>
            </w:tcBorders>
          </w:tcPr>
          <w:p>
            <w:pPr>
              <w:spacing w:after="0"/>
              <w:rPr>
                <w:sz w:val="16"/>
                <w:szCs w:val="16"/>
                <w:color w:val="auto"/>
              </w:rPr>
            </w:pPr>
          </w:p>
        </w:tc>
        <w:tc>
          <w:tcPr>
            <w:tcW w:w="6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Land and land improvements</w:t>
            </w:r>
          </w:p>
        </w:tc>
        <w:tc>
          <w:tcPr>
            <w:tcW w:w="220" w:type="dxa"/>
            <w:vAlign w:val="bottom"/>
            <w:shd w:val="clear" w:color="auto" w:fill="E1E1E1"/>
          </w:tcPr>
          <w:p>
            <w:pPr>
              <w:spacing w:after="0"/>
              <w:rPr>
                <w:sz w:val="20"/>
                <w:szCs w:val="20"/>
                <w:color w:val="auto"/>
              </w:rPr>
            </w:pPr>
          </w:p>
        </w:tc>
        <w:tc>
          <w:tcPr>
            <w:tcW w:w="420" w:type="dxa"/>
            <w:vAlign w:val="bottom"/>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w w:val="79"/>
              </w:rPr>
              <w:t>$</w:t>
            </w:r>
          </w:p>
        </w:tc>
        <w:tc>
          <w:tcPr>
            <w:tcW w:w="16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3.8</w:t>
            </w:r>
          </w:p>
        </w:tc>
        <w:tc>
          <w:tcPr>
            <w:tcW w:w="180" w:type="dxa"/>
            <w:vAlign w:val="bottom"/>
            <w:shd w:val="clear" w:color="auto" w:fill="E1E1E1"/>
          </w:tcPr>
          <w:p>
            <w:pPr>
              <w:spacing w:after="0"/>
              <w:rPr>
                <w:sz w:val="20"/>
                <w:szCs w:val="20"/>
                <w:color w:val="auto"/>
              </w:rPr>
            </w:pPr>
          </w:p>
        </w:tc>
        <w:tc>
          <w:tcPr>
            <w:tcW w:w="200" w:type="dxa"/>
            <w:vAlign w:val="bottom"/>
            <w:gridSpan w:val="2"/>
            <w:shd w:val="clear" w:color="auto" w:fill="E1E1E1"/>
          </w:tcPr>
          <w:p>
            <w:pPr>
              <w:spacing w:after="0"/>
              <w:rPr>
                <w:sz w:val="20"/>
                <w:szCs w:val="20"/>
                <w:color w:val="auto"/>
              </w:rPr>
            </w:pPr>
          </w:p>
        </w:tc>
        <w:tc>
          <w:tcPr>
            <w:tcW w:w="580" w:type="dxa"/>
            <w:vAlign w:val="bottom"/>
            <w:shd w:val="clear" w:color="auto" w:fill="E1E1E1"/>
          </w:tcPr>
          <w:p>
            <w:pPr>
              <w:jc w:val="right"/>
              <w:ind w:right="380"/>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20" w:type="dxa"/>
            <w:vAlign w:val="bottom"/>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1E1E1E"/>
              </w:rPr>
              <w:t>Buildings and improvements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76.2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Machinery and equipment</w:t>
            </w:r>
          </w:p>
        </w:tc>
        <w:tc>
          <w:tcPr>
            <w:tcW w:w="220" w:type="dxa"/>
            <w:vAlign w:val="bottom"/>
            <w:shd w:val="clear" w:color="auto" w:fill="E1E1E1"/>
          </w:tcPr>
          <w:p>
            <w:pPr>
              <w:spacing w:after="0"/>
              <w:rPr>
                <w:sz w:val="21"/>
                <w:szCs w:val="21"/>
                <w:color w:val="auto"/>
              </w:rPr>
            </w:pPr>
          </w:p>
        </w:tc>
        <w:tc>
          <w:tcPr>
            <w:tcW w:w="420" w:type="dxa"/>
            <w:vAlign w:val="bottom"/>
            <w:shd w:val="clear" w:color="auto" w:fill="E1E1E1"/>
          </w:tcPr>
          <w:p>
            <w:pPr>
              <w:spacing w:after="0"/>
              <w:rPr>
                <w:sz w:val="21"/>
                <w:szCs w:val="21"/>
                <w:color w:val="auto"/>
              </w:rPr>
            </w:pPr>
          </w:p>
        </w:tc>
        <w:tc>
          <w:tcPr>
            <w:tcW w:w="16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141.0</w:t>
            </w:r>
          </w:p>
        </w:tc>
        <w:tc>
          <w:tcPr>
            <w:tcW w:w="18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580" w:type="dxa"/>
            <w:vAlign w:val="bottom"/>
            <w:shd w:val="clear" w:color="auto" w:fill="E1E1E1"/>
          </w:tcPr>
          <w:p>
            <w:pPr>
              <w:spacing w:after="0"/>
              <w:rPr>
                <w:sz w:val="21"/>
                <w:szCs w:val="21"/>
                <w:color w:val="auto"/>
              </w:rPr>
            </w:pPr>
          </w:p>
        </w:tc>
        <w:tc>
          <w:tcPr>
            <w:tcW w:w="1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238.4</w:t>
            </w:r>
          </w:p>
        </w:tc>
        <w:tc>
          <w:tcPr>
            <w:tcW w:w="2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Construction in progress</w:t>
            </w:r>
          </w:p>
        </w:tc>
        <w:tc>
          <w:tcPr>
            <w:tcW w:w="220" w:type="dxa"/>
            <w:vAlign w:val="bottom"/>
            <w:tcBorders>
              <w:bottom w:val="single" w:sz="8" w:color="E1E1E1"/>
            </w:tcBorders>
          </w:tcPr>
          <w:p>
            <w:pPr>
              <w:spacing w:after="0"/>
              <w:rPr>
                <w:sz w:val="21"/>
                <w:szCs w:val="21"/>
                <w:color w:val="auto"/>
              </w:rPr>
            </w:pPr>
          </w:p>
        </w:tc>
        <w:tc>
          <w:tcPr>
            <w:tcW w:w="420" w:type="dxa"/>
            <w:vAlign w:val="bottom"/>
            <w:tcBorders>
              <w:bottom w:val="single" w:sz="8" w:color="1E1E1E"/>
            </w:tcBorders>
          </w:tcPr>
          <w:p>
            <w:pPr>
              <w:spacing w:after="0"/>
              <w:rPr>
                <w:sz w:val="21"/>
                <w:szCs w:val="21"/>
                <w:color w:val="auto"/>
              </w:rPr>
            </w:pPr>
          </w:p>
        </w:tc>
        <w:tc>
          <w:tcPr>
            <w:tcW w:w="166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12.1</w:t>
            </w:r>
          </w:p>
        </w:tc>
        <w:tc>
          <w:tcPr>
            <w:tcW w:w="180" w:type="dxa"/>
            <w:vAlign w:val="bottom"/>
            <w:tcBorders>
              <w:bottom w:val="single" w:sz="8" w:color="E1E1E1"/>
            </w:tcBorders>
          </w:tcPr>
          <w:p>
            <w:pPr>
              <w:spacing w:after="0"/>
              <w:rPr>
                <w:sz w:val="21"/>
                <w:szCs w:val="21"/>
                <w:color w:val="auto"/>
              </w:rPr>
            </w:pPr>
          </w:p>
        </w:tc>
        <w:tc>
          <w:tcPr>
            <w:tcW w:w="140" w:type="dxa"/>
            <w:vAlign w:val="bottom"/>
            <w:tcBorders>
              <w:bottom w:val="single" w:sz="8" w:color="E1E1E1"/>
            </w:tcBorders>
          </w:tcPr>
          <w:p>
            <w:pPr>
              <w:spacing w:after="0"/>
              <w:rPr>
                <w:sz w:val="21"/>
                <w:szCs w:val="21"/>
                <w:color w:val="auto"/>
              </w:rPr>
            </w:pPr>
          </w:p>
        </w:tc>
        <w:tc>
          <w:tcPr>
            <w:tcW w:w="60" w:type="dxa"/>
            <w:vAlign w:val="bottom"/>
            <w:tcBorders>
              <w:bottom w:val="single" w:sz="8" w:color="E1E1E1"/>
            </w:tcBorders>
          </w:tcPr>
          <w:p>
            <w:pPr>
              <w:spacing w:after="0"/>
              <w:rPr>
                <w:sz w:val="21"/>
                <w:szCs w:val="21"/>
                <w:color w:val="auto"/>
              </w:rPr>
            </w:pPr>
          </w:p>
        </w:tc>
        <w:tc>
          <w:tcPr>
            <w:tcW w:w="580" w:type="dxa"/>
            <w:vAlign w:val="bottom"/>
            <w:tcBorders>
              <w:bottom w:val="single" w:sz="8" w:color="1E1E1E"/>
            </w:tcBorders>
          </w:tcPr>
          <w:p>
            <w:pPr>
              <w:spacing w:after="0"/>
              <w:rPr>
                <w:sz w:val="21"/>
                <w:szCs w:val="21"/>
                <w:color w:val="auto"/>
              </w:rPr>
            </w:pPr>
          </w:p>
        </w:tc>
        <w:tc>
          <w:tcPr>
            <w:tcW w:w="1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20" w:type="dxa"/>
            <w:vAlign w:val="bottom"/>
            <w:tcBorders>
              <w:bottom w:val="single" w:sz="8" w:color="E1E1E1"/>
            </w:tcBorders>
          </w:tcPr>
          <w:p>
            <w:pPr>
              <w:spacing w:after="0"/>
              <w:rPr>
                <w:sz w:val="21"/>
                <w:szCs w:val="21"/>
                <w:color w:val="auto"/>
              </w:rPr>
            </w:pPr>
          </w:p>
        </w:tc>
        <w:tc>
          <w:tcPr>
            <w:tcW w:w="6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420" w:type="dxa"/>
            <w:vAlign w:val="bottom"/>
            <w:shd w:val="clear" w:color="auto" w:fill="E1E1E1"/>
          </w:tcPr>
          <w:p>
            <w:pPr>
              <w:spacing w:after="0"/>
              <w:rPr>
                <w:sz w:val="20"/>
                <w:szCs w:val="20"/>
                <w:color w:val="auto"/>
              </w:rPr>
            </w:pPr>
          </w:p>
        </w:tc>
        <w:tc>
          <w:tcPr>
            <w:tcW w:w="16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233.1</w:t>
            </w:r>
          </w:p>
        </w:tc>
        <w:tc>
          <w:tcPr>
            <w:tcW w:w="180" w:type="dxa"/>
            <w:vAlign w:val="bottom"/>
            <w:shd w:val="clear" w:color="auto" w:fill="E1E1E1"/>
          </w:tcPr>
          <w:p>
            <w:pPr>
              <w:spacing w:after="0"/>
              <w:rPr>
                <w:sz w:val="20"/>
                <w:szCs w:val="20"/>
                <w:color w:val="auto"/>
              </w:rPr>
            </w:pPr>
          </w:p>
        </w:tc>
        <w:tc>
          <w:tcPr>
            <w:tcW w:w="140" w:type="dxa"/>
            <w:vAlign w:val="bottom"/>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80" w:type="dxa"/>
            <w:vAlign w:val="bottom"/>
            <w:shd w:val="clear" w:color="auto" w:fill="E1E1E1"/>
          </w:tcPr>
          <w:p>
            <w:pPr>
              <w:spacing w:after="0"/>
              <w:rPr>
                <w:sz w:val="20"/>
                <w:szCs w:val="20"/>
                <w:color w:val="auto"/>
              </w:rPr>
            </w:pPr>
          </w:p>
        </w:tc>
        <w:tc>
          <w:tcPr>
            <w:tcW w:w="1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338.0</w:t>
            </w:r>
          </w:p>
        </w:tc>
        <w:tc>
          <w:tcPr>
            <w:tcW w:w="20" w:type="dxa"/>
            <w:vAlign w:val="bottom"/>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1E1E1E"/>
              </w:rPr>
              <w:t>Accumulated depreciation</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1E1E1E"/>
              </w:rPr>
              <w:t>(174.5)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1E1E1E"/>
              </w:rPr>
              <w:t>(255.8)</w:t>
            </w:r>
          </w:p>
        </w:tc>
        <w:tc>
          <w:tcPr>
            <w:tcW w:w="0" w:type="dxa"/>
            <w:vAlign w:val="bottom"/>
          </w:tcPr>
          <w:p>
            <w:pPr>
              <w:spacing w:after="0"/>
              <w:rPr>
                <w:sz w:val="1"/>
                <w:szCs w:val="1"/>
                <w:color w:val="auto"/>
              </w:rPr>
            </w:pPr>
          </w:p>
        </w:tc>
      </w:tr>
      <w:tr>
        <w:trPr>
          <w:trHeight w:val="239"/>
        </w:trPr>
        <w:tc>
          <w:tcPr>
            <w:tcW w:w="592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property, plant and equipment, net</w:t>
            </w:r>
          </w:p>
        </w:tc>
        <w:tc>
          <w:tcPr>
            <w:tcW w:w="220" w:type="dxa"/>
            <w:vAlign w:val="bottom"/>
            <w:tcBorders>
              <w:top w:val="single" w:sz="8" w:color="E1E1E1"/>
            </w:tcBorders>
            <w:shd w:val="clear" w:color="auto" w:fill="E1E1E1"/>
          </w:tcPr>
          <w:p>
            <w:pPr>
              <w:spacing w:after="0"/>
              <w:rPr>
                <w:sz w:val="20"/>
                <w:szCs w:val="20"/>
                <w:color w:val="auto"/>
              </w:rPr>
            </w:pPr>
          </w:p>
        </w:tc>
        <w:tc>
          <w:tcPr>
            <w:tcW w:w="420" w:type="dxa"/>
            <w:vAlign w:val="bottom"/>
            <w:tcBorders>
              <w:top w:val="single" w:sz="8" w:color="1E1E1E"/>
              <w:bottom w:val="single" w:sz="8" w:color="1E1E1E"/>
            </w:tcBorders>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w w:val="79"/>
              </w:rPr>
              <w:t>$</w:t>
            </w:r>
          </w:p>
        </w:tc>
        <w:tc>
          <w:tcPr>
            <w:tcW w:w="1660" w:type="dxa"/>
            <w:vAlign w:val="bottom"/>
            <w:tcBorders>
              <w:top w:val="single" w:sz="8" w:color="1E1E1E"/>
              <w:bottom w:val="single" w:sz="8" w:color="1E1E1E"/>
            </w:tcBorders>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58.6</w:t>
            </w:r>
          </w:p>
        </w:tc>
        <w:tc>
          <w:tcPr>
            <w:tcW w:w="18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E1E1E1"/>
            </w:tcBorders>
            <w:gridSpan w:val="2"/>
            <w:shd w:val="clear" w:color="auto" w:fill="E1E1E1"/>
          </w:tcPr>
          <w:p>
            <w:pPr>
              <w:spacing w:after="0"/>
              <w:rPr>
                <w:sz w:val="20"/>
                <w:szCs w:val="20"/>
                <w:color w:val="auto"/>
              </w:rPr>
            </w:pPr>
          </w:p>
        </w:tc>
        <w:tc>
          <w:tcPr>
            <w:tcW w:w="580" w:type="dxa"/>
            <w:vAlign w:val="bottom"/>
            <w:tcBorders>
              <w:top w:val="single" w:sz="8" w:color="1E1E1E"/>
              <w:bottom w:val="single" w:sz="8" w:color="1E1E1E"/>
            </w:tcBorders>
            <w:shd w:val="clear" w:color="auto" w:fill="E1E1E1"/>
          </w:tcPr>
          <w:p>
            <w:pPr>
              <w:jc w:val="right"/>
              <w:ind w:right="380"/>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82.2</w:t>
            </w:r>
          </w:p>
        </w:tc>
        <w:tc>
          <w:tcPr>
            <w:tcW w:w="20" w:type="dxa"/>
            <w:vAlign w:val="bottom"/>
            <w:tcBorders>
              <w:top w:val="single" w:sz="8" w:color="E1E1E1"/>
            </w:tcBorders>
            <w:shd w:val="clear" w:color="auto" w:fill="E1E1E1"/>
          </w:tcPr>
          <w:p>
            <w:pPr>
              <w:spacing w:after="0"/>
              <w:rPr>
                <w:sz w:val="20"/>
                <w:szCs w:val="20"/>
                <w:color w:val="auto"/>
              </w:rPr>
            </w:pPr>
          </w:p>
        </w:tc>
        <w:tc>
          <w:tcPr>
            <w:tcW w:w="6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1600" w:type="dxa"/>
            <w:vAlign w:val="bottom"/>
            <w:tcBorders>
              <w:bottom w:val="single" w:sz="8" w:color="1E1E1E"/>
            </w:tcBorders>
          </w:tcPr>
          <w:p>
            <w:pPr>
              <w:spacing w:after="0" w:line="20" w:lineRule="exact"/>
              <w:rPr>
                <w:sz w:val="1"/>
                <w:szCs w:val="1"/>
                <w:color w:val="auto"/>
              </w:rPr>
            </w:pPr>
          </w:p>
        </w:tc>
        <w:tc>
          <w:tcPr>
            <w:tcW w:w="6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154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83</w:t>
      </w:r>
    </w:p>
    <w:p>
      <w:pPr>
        <w:sectPr>
          <w:pgSz w:w="11880" w:h="15480" w:orient="portrait"/>
          <w:cols w:equalWidth="0" w:num="1">
            <w:col w:w="10800"/>
          </w:cols>
          <w:pgMar w:left="540" w:top="515" w:right="54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4"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9"/>
          <w:szCs w:val="19"/>
          <w:color w:val="1E1E1E"/>
        </w:rPr>
        <w:t>During the year ended December 31, 2025, the Company wrote off approximately $25.4 million of gross cost and accumulated depreciation related to fully depreciated property, plant and equipment.</w:t>
      </w:r>
    </w:p>
    <w:p>
      <w:pPr>
        <w:spacing w:after="0" w:line="12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1E1E1E"/>
        </w:rPr>
        <w:t>Depreciation expense was $21.2 million, $31.5 million and $46.4 million during the years ended December 31, 2025, 2024 and 2023, respectively. No interest was capitalized during the years ended December 31, 2025, 2024 or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Accrued and Other Liabilities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80" w:type="dxa"/>
            <w:vAlign w:val="bottom"/>
            <w:tcBorders>
              <w:bottom w:val="single" w:sz="8" w:color="1E1E1E"/>
            </w:tcBorders>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600" w:type="dxa"/>
            <w:vAlign w:val="bottom"/>
            <w:tcBorders>
              <w:bottom w:val="single" w:sz="8" w:color="1E1E1E"/>
            </w:tcBorders>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220" w:type="dxa"/>
            <w:vAlign w:val="bottom"/>
            <w:tcBorders>
              <w:bottom w:val="single" w:sz="8" w:color="1E1E1E"/>
            </w:tcBorders>
          </w:tcPr>
          <w:p>
            <w:pPr>
              <w:spacing w:after="0"/>
              <w:rPr>
                <w:sz w:val="17"/>
                <w:szCs w:val="17"/>
                <w:color w:val="auto"/>
              </w:rPr>
            </w:pPr>
          </w:p>
        </w:tc>
        <w:tc>
          <w:tcPr>
            <w:tcW w:w="1360" w:type="dxa"/>
            <w:vAlign w:val="bottom"/>
            <w:tcBorders>
              <w:bottom w:val="single" w:sz="8" w:color="1E1E1E"/>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60" w:type="dxa"/>
            <w:vAlign w:val="bottom"/>
            <w:tcBorders>
              <w:bottom w:val="single" w:sz="8" w:color="E1E1E1"/>
            </w:tcBorders>
          </w:tcPr>
          <w:p>
            <w:pPr>
              <w:spacing w:after="0"/>
              <w:rPr>
                <w:sz w:val="16"/>
                <w:szCs w:val="16"/>
                <w:color w:val="auto"/>
              </w:rPr>
            </w:pPr>
          </w:p>
        </w:tc>
        <w:tc>
          <w:tcPr>
            <w:tcW w:w="620" w:type="dxa"/>
            <w:vAlign w:val="bottom"/>
            <w:tcBorders>
              <w:bottom w:val="single" w:sz="8" w:color="E1E1E1"/>
            </w:tcBorders>
          </w:tcPr>
          <w:p>
            <w:pPr>
              <w:spacing w:after="0"/>
              <w:rPr>
                <w:sz w:val="16"/>
                <w:szCs w:val="16"/>
                <w:color w:val="auto"/>
              </w:rPr>
            </w:pPr>
          </w:p>
        </w:tc>
        <w:tc>
          <w:tcPr>
            <w:tcW w:w="3800" w:type="dxa"/>
            <w:vAlign w:val="bottom"/>
            <w:tcBorders>
              <w:bottom w:val="single" w:sz="8" w:color="E1E1E1"/>
            </w:tcBorders>
          </w:tcPr>
          <w:p>
            <w:pPr>
              <w:spacing w:after="0"/>
              <w:rPr>
                <w:sz w:val="16"/>
                <w:szCs w:val="16"/>
                <w:color w:val="auto"/>
              </w:rPr>
            </w:pPr>
          </w:p>
        </w:tc>
        <w:tc>
          <w:tcPr>
            <w:tcW w:w="1440" w:type="dxa"/>
            <w:vAlign w:val="bottom"/>
            <w:tcBorders>
              <w:bottom w:val="single" w:sz="8" w:color="1E1E1E"/>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680" w:type="dxa"/>
            <w:vAlign w:val="bottom"/>
            <w:tcBorders>
              <w:bottom w:val="single" w:sz="8" w:color="1E1E1E"/>
            </w:tcBorders>
          </w:tcPr>
          <w:p>
            <w:pPr>
              <w:spacing w:after="0"/>
              <w:rPr>
                <w:sz w:val="16"/>
                <w:szCs w:val="16"/>
                <w:color w:val="auto"/>
              </w:rPr>
            </w:pPr>
          </w:p>
        </w:tc>
        <w:tc>
          <w:tcPr>
            <w:tcW w:w="100" w:type="dxa"/>
            <w:vAlign w:val="bottom"/>
            <w:tcBorders>
              <w:bottom w:val="single" w:sz="8" w:color="1E1E1E"/>
            </w:tcBorders>
          </w:tcPr>
          <w:p>
            <w:pPr>
              <w:spacing w:after="0"/>
              <w:rPr>
                <w:sz w:val="16"/>
                <w:szCs w:val="16"/>
                <w:color w:val="auto"/>
              </w:rPr>
            </w:pPr>
          </w:p>
        </w:tc>
        <w:tc>
          <w:tcPr>
            <w:tcW w:w="280" w:type="dxa"/>
            <w:vAlign w:val="bottom"/>
            <w:tcBorders>
              <w:bottom w:val="single" w:sz="8" w:color="E1E1E1"/>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380" w:type="dxa"/>
            <w:vAlign w:val="bottom"/>
            <w:tcBorders>
              <w:bottom w:val="single" w:sz="8" w:color="1E1E1E"/>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1360" w:type="dxa"/>
            <w:vAlign w:val="bottom"/>
            <w:tcBorders>
              <w:bottom w:val="single" w:sz="8" w:color="1E1E1E"/>
            </w:tcBorders>
          </w:tcPr>
          <w:p>
            <w:pPr>
              <w:jc w:val="right"/>
              <w:ind w:right="80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bottom w:val="single" w:sz="8" w:color="1E1E1E"/>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80" w:type="dxa"/>
            <w:vAlign w:val="bottom"/>
            <w:gridSpan w:val="3"/>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Compensation and employee benefit liabilities</w:t>
            </w:r>
          </w:p>
        </w:tc>
        <w:tc>
          <w:tcPr>
            <w:tcW w:w="1080" w:type="dxa"/>
            <w:vAlign w:val="bottom"/>
            <w:shd w:val="clear" w:color="auto" w:fill="E1E1E1"/>
          </w:tcPr>
          <w:p>
            <w:pPr>
              <w:jc w:val="right"/>
              <w:ind w:right="883"/>
              <w:spacing w:after="0"/>
              <w:rPr>
                <w:sz w:val="20"/>
                <w:szCs w:val="20"/>
                <w:color w:val="auto"/>
              </w:rPr>
            </w:pPr>
            <w:r>
              <w:rPr>
                <w:rFonts w:ascii="Times New Roman" w:cs="Times New Roman" w:eastAsia="Times New Roman" w:hAnsi="Times New Roman"/>
                <w:sz w:val="20"/>
                <w:szCs w:val="20"/>
                <w:color w:val="1E1E1E"/>
                <w:w w:val="79"/>
              </w:rPr>
              <w:t>$</w:t>
            </w:r>
          </w:p>
        </w:tc>
        <w:tc>
          <w:tcPr>
            <w:tcW w:w="360" w:type="dxa"/>
            <w:vAlign w:val="bottom"/>
            <w:shd w:val="clear" w:color="auto" w:fill="E1E1E1"/>
          </w:tcPr>
          <w:p>
            <w:pPr>
              <w:spacing w:after="0"/>
              <w:rPr>
                <w:sz w:val="20"/>
                <w:szCs w:val="20"/>
                <w:color w:val="auto"/>
              </w:rPr>
            </w:pPr>
          </w:p>
        </w:tc>
        <w:tc>
          <w:tcPr>
            <w:tcW w:w="6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162.7</w:t>
            </w:r>
          </w:p>
        </w:tc>
        <w:tc>
          <w:tcPr>
            <w:tcW w:w="10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1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380" w:type="dxa"/>
            <w:vAlign w:val="bottom"/>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13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88.2</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Deferred revenue</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gridSpan w:val="3"/>
            <w:shd w:val="clear" w:color="auto" w:fill="E1E1E1"/>
          </w:tcPr>
          <w:p>
            <w:pPr>
              <w:spacing w:after="0"/>
              <w:rPr>
                <w:sz w:val="20"/>
                <w:szCs w:val="20"/>
                <w:color w:val="auto"/>
              </w:rPr>
            </w:pPr>
            <w:r>
              <w:rPr>
                <w:rFonts w:ascii="Times New Roman" w:cs="Times New Roman" w:eastAsia="Times New Roman" w:hAnsi="Times New Roman"/>
                <w:sz w:val="20"/>
                <w:szCs w:val="20"/>
                <w:color w:val="1E1E1E"/>
              </w:rPr>
              <w:t>Accrued interest</w:t>
            </w:r>
          </w:p>
        </w:tc>
        <w:tc>
          <w:tcPr>
            <w:tcW w:w="1080" w:type="dxa"/>
            <w:vAlign w:val="bottom"/>
            <w:shd w:val="clear" w:color="auto" w:fill="E1E1E1"/>
          </w:tcPr>
          <w:p>
            <w:pPr>
              <w:spacing w:after="0"/>
              <w:rPr>
                <w:sz w:val="21"/>
                <w:szCs w:val="21"/>
                <w:color w:val="auto"/>
              </w:rPr>
            </w:pPr>
          </w:p>
        </w:tc>
        <w:tc>
          <w:tcPr>
            <w:tcW w:w="360" w:type="dxa"/>
            <w:vAlign w:val="bottom"/>
            <w:shd w:val="clear" w:color="auto" w:fill="E1E1E1"/>
          </w:tcPr>
          <w:p>
            <w:pPr>
              <w:spacing w:after="0"/>
              <w:rPr>
                <w:sz w:val="21"/>
                <w:szCs w:val="21"/>
                <w:color w:val="auto"/>
              </w:rPr>
            </w:pPr>
          </w:p>
        </w:tc>
        <w:tc>
          <w:tcPr>
            <w:tcW w:w="6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78.1</w:t>
            </w:r>
          </w:p>
        </w:tc>
        <w:tc>
          <w:tcPr>
            <w:tcW w:w="10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38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13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112.4</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Operating lease liabilities</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gridSpan w:val="3"/>
            <w:shd w:val="clear" w:color="auto" w:fill="E1E1E1"/>
          </w:tcPr>
          <w:p>
            <w:pPr>
              <w:spacing w:after="0"/>
              <w:rPr>
                <w:sz w:val="20"/>
                <w:szCs w:val="20"/>
                <w:color w:val="auto"/>
              </w:rPr>
            </w:pPr>
            <w:r>
              <w:rPr>
                <w:rFonts w:ascii="Times New Roman" w:cs="Times New Roman" w:eastAsia="Times New Roman" w:hAnsi="Times New Roman"/>
                <w:sz w:val="20"/>
                <w:szCs w:val="20"/>
                <w:color w:val="1E1E1E"/>
              </w:rPr>
              <w:t>Product warranty accrual</w:t>
            </w:r>
          </w:p>
        </w:tc>
        <w:tc>
          <w:tcPr>
            <w:tcW w:w="1080" w:type="dxa"/>
            <w:vAlign w:val="bottom"/>
            <w:shd w:val="clear" w:color="auto" w:fill="E1E1E1"/>
          </w:tcPr>
          <w:p>
            <w:pPr>
              <w:spacing w:after="0"/>
              <w:rPr>
                <w:sz w:val="21"/>
                <w:szCs w:val="21"/>
                <w:color w:val="auto"/>
              </w:rPr>
            </w:pPr>
          </w:p>
        </w:tc>
        <w:tc>
          <w:tcPr>
            <w:tcW w:w="360" w:type="dxa"/>
            <w:vAlign w:val="bottom"/>
            <w:shd w:val="clear" w:color="auto" w:fill="E1E1E1"/>
          </w:tcPr>
          <w:p>
            <w:pPr>
              <w:spacing w:after="0"/>
              <w:rPr>
                <w:sz w:val="21"/>
                <w:szCs w:val="21"/>
                <w:color w:val="auto"/>
              </w:rPr>
            </w:pPr>
          </w:p>
        </w:tc>
        <w:tc>
          <w:tcPr>
            <w:tcW w:w="6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16.4</w:t>
            </w:r>
          </w:p>
        </w:tc>
        <w:tc>
          <w:tcPr>
            <w:tcW w:w="10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38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13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12.2</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tcBorders>
              <w:bottom w:val="single" w:sz="8" w:color="E1E1E1"/>
            </w:tcBorders>
            <w:gridSpan w:val="3"/>
          </w:tcPr>
          <w:p>
            <w:pPr>
              <w:spacing w:after="0"/>
              <w:rPr>
                <w:sz w:val="20"/>
                <w:szCs w:val="20"/>
                <w:color w:val="auto"/>
              </w:rPr>
            </w:pPr>
            <w:r>
              <w:rPr>
                <w:rFonts w:ascii="Times New Roman" w:cs="Times New Roman" w:eastAsia="Times New Roman" w:hAnsi="Times New Roman"/>
                <w:sz w:val="20"/>
                <w:szCs w:val="20"/>
                <w:color w:val="1E1E1E"/>
              </w:rPr>
              <w:t>Other</w:t>
            </w:r>
          </w:p>
        </w:tc>
        <w:tc>
          <w:tcPr>
            <w:tcW w:w="1080" w:type="dxa"/>
            <w:vAlign w:val="bottom"/>
            <w:tcBorders>
              <w:bottom w:val="single" w:sz="8" w:color="1E1E1E"/>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120.7</w:t>
            </w:r>
          </w:p>
        </w:tc>
        <w:tc>
          <w:tcPr>
            <w:tcW w:w="100" w:type="dxa"/>
            <w:vAlign w:val="bottom"/>
            <w:tcBorders>
              <w:bottom w:val="single" w:sz="8" w:color="1E1E1E"/>
            </w:tcBorders>
          </w:tcPr>
          <w:p>
            <w:pPr>
              <w:spacing w:after="0"/>
              <w:rPr>
                <w:sz w:val="21"/>
                <w:szCs w:val="21"/>
                <w:color w:val="auto"/>
              </w:rPr>
            </w:pPr>
          </w:p>
        </w:tc>
        <w:tc>
          <w:tcPr>
            <w:tcW w:w="280" w:type="dxa"/>
            <w:vAlign w:val="bottom"/>
            <w:tcBorders>
              <w:bottom w:val="single" w:sz="8" w:color="E1E1E1"/>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134.7</w:t>
            </w:r>
          </w:p>
        </w:tc>
        <w:tc>
          <w:tcPr>
            <w:tcW w:w="80" w:type="dxa"/>
            <w:vAlign w:val="bottom"/>
            <w:tcBorders>
              <w:bottom w:val="single" w:sz="8" w:color="1E1E1E"/>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80" w:type="dxa"/>
            <w:vAlign w:val="bottom"/>
            <w:gridSpan w:val="3"/>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accrued and other liabilities</w:t>
            </w:r>
          </w:p>
        </w:tc>
        <w:tc>
          <w:tcPr>
            <w:tcW w:w="1080" w:type="dxa"/>
            <w:vAlign w:val="bottom"/>
            <w:tcBorders>
              <w:bottom w:val="single" w:sz="8" w:color="1E1E1E"/>
            </w:tcBorders>
            <w:shd w:val="clear" w:color="auto" w:fill="E1E1E1"/>
          </w:tcPr>
          <w:p>
            <w:pPr>
              <w:jc w:val="right"/>
              <w:ind w:right="883"/>
              <w:spacing w:after="0"/>
              <w:rPr>
                <w:sz w:val="20"/>
                <w:szCs w:val="20"/>
                <w:color w:val="auto"/>
              </w:rPr>
            </w:pPr>
            <w:r>
              <w:rPr>
                <w:rFonts w:ascii="Times New Roman" w:cs="Times New Roman" w:eastAsia="Times New Roman" w:hAnsi="Times New Roman"/>
                <w:sz w:val="20"/>
                <w:szCs w:val="20"/>
                <w:color w:val="1E1E1E"/>
                <w:w w:val="79"/>
              </w:rPr>
              <w:t>$</w:t>
            </w:r>
          </w:p>
        </w:tc>
        <w:tc>
          <w:tcPr>
            <w:tcW w:w="360" w:type="dxa"/>
            <w:vAlign w:val="bottom"/>
            <w:tcBorders>
              <w:bottom w:val="single" w:sz="8" w:color="1E1E1E"/>
            </w:tcBorders>
            <w:shd w:val="clear" w:color="auto" w:fill="E1E1E1"/>
          </w:tcPr>
          <w:p>
            <w:pPr>
              <w:spacing w:after="0"/>
              <w:rPr>
                <w:sz w:val="20"/>
                <w:szCs w:val="20"/>
                <w:color w:val="auto"/>
              </w:rPr>
            </w:pPr>
          </w:p>
        </w:tc>
        <w:tc>
          <w:tcPr>
            <w:tcW w:w="6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498.3</w:t>
            </w:r>
          </w:p>
        </w:tc>
        <w:tc>
          <w:tcPr>
            <w:tcW w:w="100" w:type="dxa"/>
            <w:vAlign w:val="bottom"/>
            <w:tcBorders>
              <w:bottom w:val="single" w:sz="8" w:color="1E1E1E"/>
            </w:tcBorders>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1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380" w:type="dxa"/>
            <w:vAlign w:val="bottom"/>
            <w:tcBorders>
              <w:bottom w:val="single" w:sz="8" w:color="1E1E1E"/>
            </w:tcBorders>
            <w:shd w:val="clear" w:color="auto" w:fill="E1E1E1"/>
          </w:tcPr>
          <w:p>
            <w:pPr>
              <w:spacing w:after="0"/>
              <w:rPr>
                <w:sz w:val="20"/>
                <w:szCs w:val="20"/>
                <w:color w:val="auto"/>
              </w:rPr>
            </w:pPr>
          </w:p>
        </w:tc>
        <w:tc>
          <w:tcPr>
            <w:tcW w:w="220" w:type="dxa"/>
            <w:vAlign w:val="bottom"/>
            <w:tcBorders>
              <w:bottom w:val="single" w:sz="8" w:color="1E1E1E"/>
            </w:tcBorders>
            <w:shd w:val="clear" w:color="auto" w:fill="E1E1E1"/>
          </w:tcPr>
          <w:p>
            <w:pPr>
              <w:spacing w:after="0"/>
              <w:rPr>
                <w:sz w:val="20"/>
                <w:szCs w:val="20"/>
                <w:color w:val="auto"/>
              </w:rPr>
            </w:pPr>
          </w:p>
        </w:tc>
        <w:tc>
          <w:tcPr>
            <w:tcW w:w="13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457.0</w:t>
            </w:r>
          </w:p>
        </w:tc>
        <w:tc>
          <w:tcPr>
            <w:tcW w:w="80" w:type="dxa"/>
            <w:vAlign w:val="bottom"/>
            <w:tcBorders>
              <w:bottom w:val="single" w:sz="8" w:color="1E1E1E"/>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Accumulated Other Comprehensive Loss (AOCL)</w:t>
            </w:r>
          </w:p>
        </w:tc>
        <w:tc>
          <w:tcPr>
            <w:tcW w:w="1080" w:type="dxa"/>
            <w:vAlign w:val="bottom"/>
            <w:tcBorders>
              <w:bottom w:val="single" w:sz="8" w:color="1E1E1E"/>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100" w:type="dxa"/>
            <w:vAlign w:val="bottom"/>
            <w:gridSpan w:val="4"/>
            <w:vMerge w:val="continue"/>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10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The following table presents changes in AOCL, net of tax:</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8"/>
            <w:vMerge w:val="restart"/>
          </w:tcPr>
          <w:p>
            <w:pPr>
              <w:jc w:val="right"/>
              <w:ind w:right="9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6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60" w:type="dxa"/>
            <w:vAlign w:val="bottom"/>
            <w:tcBorders>
              <w:bottom w:val="single" w:sz="8" w:color="E1E1E1"/>
            </w:tcBorders>
          </w:tcPr>
          <w:p>
            <w:pPr>
              <w:spacing w:after="0"/>
              <w:rPr>
                <w:sz w:val="16"/>
                <w:szCs w:val="16"/>
                <w:color w:val="auto"/>
              </w:rPr>
            </w:pPr>
          </w:p>
        </w:tc>
        <w:tc>
          <w:tcPr>
            <w:tcW w:w="620" w:type="dxa"/>
            <w:vAlign w:val="bottom"/>
            <w:tcBorders>
              <w:bottom w:val="single" w:sz="8" w:color="E1E1E1"/>
            </w:tcBorders>
          </w:tcPr>
          <w:p>
            <w:pPr>
              <w:spacing w:after="0"/>
              <w:rPr>
                <w:sz w:val="16"/>
                <w:szCs w:val="16"/>
                <w:color w:val="auto"/>
              </w:rPr>
            </w:pPr>
          </w:p>
        </w:tc>
        <w:tc>
          <w:tcPr>
            <w:tcW w:w="3800" w:type="dxa"/>
            <w:vAlign w:val="bottom"/>
            <w:tcBorders>
              <w:bottom w:val="single" w:sz="8" w:color="E1E1E1"/>
            </w:tcBorders>
          </w:tcPr>
          <w:p>
            <w:pPr>
              <w:spacing w:after="0"/>
              <w:rPr>
                <w:sz w:val="16"/>
                <w:szCs w:val="16"/>
                <w:color w:val="auto"/>
              </w:rPr>
            </w:pPr>
          </w:p>
        </w:tc>
        <w:tc>
          <w:tcPr>
            <w:tcW w:w="1080" w:type="dxa"/>
            <w:vAlign w:val="bottom"/>
            <w:tcBorders>
              <w:bottom w:val="single" w:sz="8" w:color="E1E1E1"/>
            </w:tcBorders>
          </w:tcPr>
          <w:p>
            <w:pPr>
              <w:spacing w:after="0"/>
              <w:rPr>
                <w:sz w:val="16"/>
                <w:szCs w:val="16"/>
                <w:color w:val="auto"/>
              </w:rPr>
            </w:pPr>
          </w:p>
        </w:tc>
        <w:tc>
          <w:tcPr>
            <w:tcW w:w="360" w:type="dxa"/>
            <w:vAlign w:val="bottom"/>
            <w:tcBorders>
              <w:top w:val="single" w:sz="8" w:color="1E1E1E"/>
              <w:bottom w:val="single" w:sz="8" w:color="1E1E1E"/>
            </w:tcBorders>
          </w:tcPr>
          <w:p>
            <w:pPr>
              <w:spacing w:after="0"/>
              <w:rPr>
                <w:sz w:val="16"/>
                <w:szCs w:val="16"/>
                <w:color w:val="auto"/>
              </w:rPr>
            </w:pPr>
          </w:p>
        </w:tc>
        <w:tc>
          <w:tcPr>
            <w:tcW w:w="680" w:type="dxa"/>
            <w:vAlign w:val="bottom"/>
            <w:tcBorders>
              <w:top w:val="single" w:sz="8" w:color="1E1E1E"/>
              <w:bottom w:val="single" w:sz="8" w:color="1E1E1E"/>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top w:val="single" w:sz="8" w:color="1E1E1E"/>
              <w:bottom w:val="single" w:sz="8" w:color="1E1E1E"/>
            </w:tcBorders>
          </w:tcPr>
          <w:p>
            <w:pPr>
              <w:spacing w:after="0"/>
              <w:rPr>
                <w:sz w:val="16"/>
                <w:szCs w:val="16"/>
                <w:color w:val="auto"/>
              </w:rPr>
            </w:pPr>
          </w:p>
        </w:tc>
        <w:tc>
          <w:tcPr>
            <w:tcW w:w="280" w:type="dxa"/>
            <w:vAlign w:val="bottom"/>
            <w:tcBorders>
              <w:top w:val="single" w:sz="8" w:color="1E1E1E"/>
              <w:bottom w:val="single" w:sz="8" w:color="1E1E1E"/>
            </w:tcBorders>
          </w:tcPr>
          <w:p>
            <w:pPr>
              <w:spacing w:after="0"/>
              <w:rPr>
                <w:sz w:val="16"/>
                <w:szCs w:val="16"/>
                <w:color w:val="auto"/>
              </w:rPr>
            </w:pPr>
          </w:p>
        </w:tc>
        <w:tc>
          <w:tcPr>
            <w:tcW w:w="160" w:type="dxa"/>
            <w:vAlign w:val="bottom"/>
            <w:tcBorders>
              <w:top w:val="single" w:sz="8" w:color="1E1E1E"/>
              <w:bottom w:val="single" w:sz="8" w:color="1E1E1E"/>
            </w:tcBorders>
          </w:tcPr>
          <w:p>
            <w:pPr>
              <w:spacing w:after="0"/>
              <w:rPr>
                <w:sz w:val="16"/>
                <w:szCs w:val="16"/>
                <w:color w:val="auto"/>
              </w:rPr>
            </w:pPr>
          </w:p>
        </w:tc>
        <w:tc>
          <w:tcPr>
            <w:tcW w:w="380" w:type="dxa"/>
            <w:vAlign w:val="bottom"/>
            <w:tcBorders>
              <w:top w:val="single" w:sz="8" w:color="1E1E1E"/>
              <w:bottom w:val="single" w:sz="8" w:color="E1E1E1"/>
            </w:tcBorders>
          </w:tcPr>
          <w:p>
            <w:pPr>
              <w:spacing w:after="0"/>
              <w:rPr>
                <w:sz w:val="16"/>
                <w:szCs w:val="16"/>
                <w:color w:val="auto"/>
              </w:rPr>
            </w:pPr>
          </w:p>
        </w:tc>
        <w:tc>
          <w:tcPr>
            <w:tcW w:w="220" w:type="dxa"/>
            <w:vAlign w:val="bottom"/>
            <w:tcBorders>
              <w:top w:val="single" w:sz="8" w:color="1E1E1E"/>
              <w:bottom w:val="single" w:sz="8" w:color="1E1E1E"/>
            </w:tcBorders>
          </w:tcPr>
          <w:p>
            <w:pPr>
              <w:spacing w:after="0"/>
              <w:rPr>
                <w:sz w:val="16"/>
                <w:szCs w:val="16"/>
                <w:color w:val="auto"/>
              </w:rPr>
            </w:pPr>
          </w:p>
        </w:tc>
        <w:tc>
          <w:tcPr>
            <w:tcW w:w="1360" w:type="dxa"/>
            <w:vAlign w:val="bottom"/>
            <w:tcBorders>
              <w:top w:val="single" w:sz="8" w:color="1E1E1E"/>
              <w:bottom w:val="single" w:sz="8" w:color="1E1E1E"/>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gridSpan w:val="3"/>
            <w:shd w:val="clear" w:color="auto" w:fill="E1E1E1"/>
          </w:tcPr>
          <w:p>
            <w:pPr>
              <w:spacing w:after="0" w:line="223" w:lineRule="exact"/>
              <w:rPr>
                <w:sz w:val="20"/>
                <w:szCs w:val="20"/>
                <w:color w:val="auto"/>
              </w:rPr>
            </w:pPr>
            <w:r>
              <w:rPr>
                <w:rFonts w:ascii="Times New Roman" w:cs="Times New Roman" w:eastAsia="Times New Roman" w:hAnsi="Times New Roman"/>
                <w:sz w:val="20"/>
                <w:szCs w:val="20"/>
                <w:color w:val="1E1E1E"/>
              </w:rPr>
              <w:t>Foreign currency translation</w:t>
            </w:r>
          </w:p>
        </w:tc>
        <w:tc>
          <w:tcPr>
            <w:tcW w:w="1080" w:type="dxa"/>
            <w:vAlign w:val="bottom"/>
            <w:shd w:val="clear" w:color="auto" w:fill="E1E1E1"/>
          </w:tcPr>
          <w:p>
            <w:pPr>
              <w:spacing w:after="0"/>
              <w:rPr>
                <w:sz w:val="19"/>
                <w:szCs w:val="19"/>
                <w:color w:val="auto"/>
              </w:rPr>
            </w:pPr>
          </w:p>
        </w:tc>
        <w:tc>
          <w:tcPr>
            <w:tcW w:w="360" w:type="dxa"/>
            <w:vAlign w:val="bottom"/>
            <w:shd w:val="clear" w:color="auto" w:fill="E1E1E1"/>
          </w:tcPr>
          <w:p>
            <w:pPr>
              <w:spacing w:after="0"/>
              <w:rPr>
                <w:sz w:val="19"/>
                <w:szCs w:val="19"/>
                <w:color w:val="auto"/>
              </w:rPr>
            </w:pPr>
          </w:p>
        </w:tc>
        <w:tc>
          <w:tcPr>
            <w:tcW w:w="680" w:type="dxa"/>
            <w:vAlign w:val="bottom"/>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280" w:type="dxa"/>
            <w:vAlign w:val="bottom"/>
            <w:shd w:val="clear" w:color="auto" w:fill="E1E1E1"/>
          </w:tcPr>
          <w:p>
            <w:pPr>
              <w:spacing w:after="0"/>
              <w:rPr>
                <w:sz w:val="19"/>
                <w:szCs w:val="19"/>
                <w:color w:val="auto"/>
              </w:rPr>
            </w:pPr>
          </w:p>
        </w:tc>
        <w:tc>
          <w:tcPr>
            <w:tcW w:w="160" w:type="dxa"/>
            <w:vAlign w:val="bottom"/>
            <w:shd w:val="clear" w:color="auto" w:fill="E1E1E1"/>
          </w:tcPr>
          <w:p>
            <w:pPr>
              <w:spacing w:after="0"/>
              <w:rPr>
                <w:sz w:val="19"/>
                <w:szCs w:val="19"/>
                <w:color w:val="auto"/>
              </w:rPr>
            </w:pPr>
          </w:p>
        </w:tc>
        <w:tc>
          <w:tcPr>
            <w:tcW w:w="380" w:type="dxa"/>
            <w:vAlign w:val="bottom"/>
            <w:shd w:val="clear" w:color="auto" w:fill="E1E1E1"/>
          </w:tcPr>
          <w:p>
            <w:pPr>
              <w:spacing w:after="0"/>
              <w:rPr>
                <w:sz w:val="19"/>
                <w:szCs w:val="19"/>
                <w:color w:val="auto"/>
              </w:rPr>
            </w:pPr>
          </w:p>
        </w:tc>
        <w:tc>
          <w:tcPr>
            <w:tcW w:w="220" w:type="dxa"/>
            <w:vAlign w:val="bottom"/>
            <w:shd w:val="clear" w:color="auto" w:fill="E1E1E1"/>
          </w:tcPr>
          <w:p>
            <w:pPr>
              <w:spacing w:after="0"/>
              <w:rPr>
                <w:sz w:val="19"/>
                <w:szCs w:val="19"/>
                <w:color w:val="auto"/>
              </w:rPr>
            </w:pPr>
          </w:p>
        </w:tc>
        <w:tc>
          <w:tcPr>
            <w:tcW w:w="136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1E1E1E"/>
          </w:tcPr>
          <w:p>
            <w:pPr>
              <w:spacing w:after="0" w:line="20" w:lineRule="exact"/>
              <w:rPr>
                <w:sz w:val="1"/>
                <w:szCs w:val="1"/>
                <w:color w:val="auto"/>
              </w:rPr>
            </w:pPr>
          </w:p>
        </w:tc>
        <w:tc>
          <w:tcPr>
            <w:tcW w:w="620" w:type="dxa"/>
            <w:vAlign w:val="bottom"/>
            <w:tcBorders>
              <w:right w:val="single" w:sz="8" w:color="E1E1E1"/>
            </w:tcBorders>
            <w:shd w:val="clear" w:color="auto" w:fill="1E1E1E"/>
          </w:tcPr>
          <w:p>
            <w:pPr>
              <w:spacing w:after="0" w:line="20" w:lineRule="exact"/>
              <w:rPr>
                <w:sz w:val="1"/>
                <w:szCs w:val="1"/>
                <w:color w:val="auto"/>
              </w:rPr>
            </w:pPr>
          </w:p>
        </w:tc>
        <w:tc>
          <w:tcPr>
            <w:tcW w:w="3800" w:type="dxa"/>
            <w:vAlign w:val="bottom"/>
            <w:shd w:val="clear" w:color="auto" w:fill="E1E1E1"/>
          </w:tcPr>
          <w:p>
            <w:pPr>
              <w:spacing w:after="0" w:line="20" w:lineRule="exact"/>
              <w:rPr>
                <w:sz w:val="1"/>
                <w:szCs w:val="1"/>
                <w:color w:val="auto"/>
              </w:rPr>
            </w:pPr>
          </w:p>
        </w:tc>
        <w:tc>
          <w:tcPr>
            <w:tcW w:w="1080" w:type="dxa"/>
            <w:vAlign w:val="bottom"/>
            <w:shd w:val="clear" w:color="auto" w:fill="E1E1E1"/>
          </w:tcPr>
          <w:p>
            <w:pPr>
              <w:spacing w:after="0" w:line="20" w:lineRule="exact"/>
              <w:rPr>
                <w:sz w:val="1"/>
                <w:szCs w:val="1"/>
                <w:color w:val="auto"/>
              </w:rPr>
            </w:pPr>
          </w:p>
        </w:tc>
        <w:tc>
          <w:tcPr>
            <w:tcW w:w="360" w:type="dxa"/>
            <w:vAlign w:val="bottom"/>
            <w:shd w:val="clear" w:color="auto" w:fill="E1E1E1"/>
          </w:tcPr>
          <w:p>
            <w:pPr>
              <w:spacing w:after="0" w:line="20" w:lineRule="exact"/>
              <w:rPr>
                <w:sz w:val="1"/>
                <w:szCs w:val="1"/>
                <w:color w:val="auto"/>
              </w:rPr>
            </w:pPr>
          </w:p>
        </w:tc>
        <w:tc>
          <w:tcPr>
            <w:tcW w:w="680" w:type="dxa"/>
            <w:vAlign w:val="bottom"/>
            <w:shd w:val="clear" w:color="auto" w:fill="E1E1E1"/>
          </w:tcPr>
          <w:p>
            <w:pPr>
              <w:spacing w:after="0" w:line="20" w:lineRule="exact"/>
              <w:rPr>
                <w:sz w:val="1"/>
                <w:szCs w:val="1"/>
                <w:color w:val="auto"/>
              </w:rPr>
            </w:pPr>
          </w:p>
        </w:tc>
        <w:tc>
          <w:tcPr>
            <w:tcW w:w="100" w:type="dxa"/>
            <w:vAlign w:val="bottom"/>
            <w:shd w:val="clear" w:color="auto" w:fill="E1E1E1"/>
          </w:tcPr>
          <w:p>
            <w:pPr>
              <w:spacing w:after="0" w:line="20" w:lineRule="exact"/>
              <w:rPr>
                <w:sz w:val="1"/>
                <w:szCs w:val="1"/>
                <w:color w:val="auto"/>
              </w:rPr>
            </w:pPr>
          </w:p>
        </w:tc>
        <w:tc>
          <w:tcPr>
            <w:tcW w:w="280" w:type="dxa"/>
            <w:vAlign w:val="bottom"/>
            <w:shd w:val="clear" w:color="auto" w:fill="E1E1E1"/>
          </w:tcPr>
          <w:p>
            <w:pPr>
              <w:spacing w:after="0" w:line="20" w:lineRule="exact"/>
              <w:rPr>
                <w:sz w:val="1"/>
                <w:szCs w:val="1"/>
                <w:color w:val="auto"/>
              </w:rPr>
            </w:pPr>
          </w:p>
        </w:tc>
        <w:tc>
          <w:tcPr>
            <w:tcW w:w="160" w:type="dxa"/>
            <w:vAlign w:val="bottom"/>
            <w:shd w:val="clear" w:color="auto" w:fill="E1E1E1"/>
          </w:tcPr>
          <w:p>
            <w:pPr>
              <w:spacing w:after="0" w:line="20" w:lineRule="exact"/>
              <w:rPr>
                <w:sz w:val="1"/>
                <w:szCs w:val="1"/>
                <w:color w:val="auto"/>
              </w:rPr>
            </w:pPr>
          </w:p>
        </w:tc>
        <w:tc>
          <w:tcPr>
            <w:tcW w:w="380" w:type="dxa"/>
            <w:vAlign w:val="bottom"/>
            <w:shd w:val="clear" w:color="auto" w:fill="E1E1E1"/>
          </w:tcPr>
          <w:p>
            <w:pPr>
              <w:spacing w:after="0" w:line="20" w:lineRule="exact"/>
              <w:rPr>
                <w:sz w:val="1"/>
                <w:szCs w:val="1"/>
                <w:color w:val="auto"/>
              </w:rPr>
            </w:pPr>
          </w:p>
        </w:tc>
        <w:tc>
          <w:tcPr>
            <w:tcW w:w="220" w:type="dxa"/>
            <w:vAlign w:val="bottom"/>
            <w:shd w:val="clear" w:color="auto" w:fill="E1E1E1"/>
          </w:tcPr>
          <w:p>
            <w:pPr>
              <w:spacing w:after="0" w:line="20" w:lineRule="exact"/>
              <w:rPr>
                <w:sz w:val="1"/>
                <w:szCs w:val="1"/>
                <w:color w:val="auto"/>
              </w:rPr>
            </w:pPr>
          </w:p>
        </w:tc>
        <w:tc>
          <w:tcPr>
            <w:tcW w:w="1360" w:type="dxa"/>
            <w:vAlign w:val="bottom"/>
            <w:shd w:val="clear" w:color="auto" w:fill="E1E1E1"/>
          </w:tcPr>
          <w:p>
            <w:pPr>
              <w:spacing w:after="0" w:line="20" w:lineRule="exact"/>
              <w:rPr>
                <w:sz w:val="1"/>
                <w:szCs w:val="1"/>
                <w:color w:val="auto"/>
              </w:rPr>
            </w:pPr>
          </w:p>
        </w:tc>
        <w:tc>
          <w:tcPr>
            <w:tcW w:w="80" w:type="dxa"/>
            <w:vAlign w:val="bottom"/>
            <w:shd w:val="clear" w:color="auto" w:fill="E1E1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Pr>
          <w:p>
            <w:pPr>
              <w:spacing w:after="0"/>
              <w:rPr>
                <w:sz w:val="20"/>
                <w:szCs w:val="20"/>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1E1E1E"/>
              </w:rPr>
              <w:t>(308.8)</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(232.4)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gridSpan w:val="3"/>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comprehensive income (loss)</w:t>
            </w:r>
          </w:p>
        </w:tc>
        <w:tc>
          <w:tcPr>
            <w:tcW w:w="1080" w:type="dxa"/>
            <w:vAlign w:val="bottom"/>
            <w:shd w:val="clear" w:color="auto" w:fill="E1E1E1"/>
          </w:tcPr>
          <w:p>
            <w:pPr>
              <w:spacing w:after="0"/>
              <w:rPr>
                <w:sz w:val="21"/>
                <w:szCs w:val="21"/>
                <w:color w:val="auto"/>
              </w:rPr>
            </w:pPr>
          </w:p>
        </w:tc>
        <w:tc>
          <w:tcPr>
            <w:tcW w:w="360" w:type="dxa"/>
            <w:vAlign w:val="bottom"/>
            <w:shd w:val="clear" w:color="auto" w:fill="E1E1E1"/>
          </w:tcPr>
          <w:p>
            <w:pPr>
              <w:spacing w:after="0"/>
              <w:rPr>
                <w:sz w:val="21"/>
                <w:szCs w:val="21"/>
                <w:color w:val="auto"/>
              </w:rPr>
            </w:pPr>
          </w:p>
        </w:tc>
        <w:tc>
          <w:tcPr>
            <w:tcW w:w="680" w:type="dxa"/>
            <w:vAlign w:val="bottom"/>
            <w:shd w:val="clear" w:color="auto" w:fill="E1E1E1"/>
          </w:tcPr>
          <w:p>
            <w:pPr>
              <w:spacing w:after="0"/>
              <w:rPr>
                <w:sz w:val="21"/>
                <w:szCs w:val="21"/>
                <w:color w:val="auto"/>
              </w:rPr>
            </w:pPr>
          </w:p>
        </w:tc>
        <w:tc>
          <w:tcPr>
            <w:tcW w:w="540" w:type="dxa"/>
            <w:vAlign w:val="bottom"/>
            <w:gridSpan w:val="3"/>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126.9</w:t>
            </w:r>
          </w:p>
        </w:tc>
        <w:tc>
          <w:tcPr>
            <w:tcW w:w="38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14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(103.6)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tcBorders>
              <w:bottom w:val="single" w:sz="8" w:color="E1E1E1"/>
            </w:tcBorders>
            <w:gridSpan w:val="3"/>
          </w:tcPr>
          <w:p>
            <w:pPr>
              <w:spacing w:after="0"/>
              <w:rPr>
                <w:sz w:val="20"/>
                <w:szCs w:val="20"/>
                <w:color w:val="auto"/>
              </w:rPr>
            </w:pPr>
            <w:r>
              <w:rPr>
                <w:rFonts w:ascii="Times New Roman" w:cs="Times New Roman" w:eastAsia="Times New Roman" w:hAnsi="Times New Roman"/>
                <w:sz w:val="20"/>
                <w:szCs w:val="20"/>
                <w:color w:val="1E1E1E"/>
              </w:rPr>
              <w:t>Amounts reclassified from AOCL</w:t>
            </w:r>
          </w:p>
        </w:tc>
        <w:tc>
          <w:tcPr>
            <w:tcW w:w="1080" w:type="dxa"/>
            <w:vAlign w:val="bottom"/>
            <w:tcBorders>
              <w:bottom w:val="single" w:sz="8" w:color="E1E1E1"/>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680" w:type="dxa"/>
            <w:vAlign w:val="bottom"/>
            <w:tcBorders>
              <w:bottom w:val="single" w:sz="8" w:color="1E1E1E"/>
            </w:tcBorders>
          </w:tcPr>
          <w:p>
            <w:pPr>
              <w:spacing w:after="0"/>
              <w:rPr>
                <w:sz w:val="21"/>
                <w:szCs w:val="21"/>
                <w:color w:val="auto"/>
              </w:rPr>
            </w:pPr>
          </w:p>
        </w:tc>
        <w:tc>
          <w:tcPr>
            <w:tcW w:w="540" w:type="dxa"/>
            <w:vAlign w:val="bottom"/>
            <w:tcBorders>
              <w:bottom w:val="single" w:sz="8" w:color="1E1E1E"/>
            </w:tcBorders>
            <w:gridSpan w:val="3"/>
          </w:tcPr>
          <w:p>
            <w:pPr>
              <w:jc w:val="right"/>
              <w:spacing w:after="0"/>
              <w:rPr>
                <w:sz w:val="20"/>
                <w:szCs w:val="20"/>
                <w:color w:val="auto"/>
              </w:rPr>
            </w:pPr>
            <w:r>
              <w:rPr>
                <w:rFonts w:ascii="Times New Roman" w:cs="Times New Roman" w:eastAsia="Times New Roman" w:hAnsi="Times New Roman"/>
                <w:sz w:val="20"/>
                <w:szCs w:val="20"/>
                <w:color w:val="1E1E1E"/>
              </w:rPr>
              <w:t>100.3</w:t>
            </w:r>
          </w:p>
        </w:tc>
        <w:tc>
          <w:tcPr>
            <w:tcW w:w="380" w:type="dxa"/>
            <w:vAlign w:val="bottom"/>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80" w:type="dxa"/>
            <w:vAlign w:val="bottom"/>
            <w:gridSpan w:val="3"/>
            <w:shd w:val="clear" w:color="auto" w:fill="E1E1E1"/>
          </w:tcPr>
          <w:p>
            <w:pPr>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1080" w:type="dxa"/>
            <w:vAlign w:val="bottom"/>
            <w:shd w:val="clear" w:color="auto" w:fill="E1E1E1"/>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680" w:type="dxa"/>
            <w:vAlign w:val="bottom"/>
          </w:tcPr>
          <w:p>
            <w:pPr>
              <w:spacing w:after="0"/>
              <w:rPr>
                <w:sz w:val="20"/>
                <w:szCs w:val="20"/>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1E1E1E"/>
              </w:rPr>
              <w:t>(81.6)</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(308.8)</w:t>
            </w:r>
          </w:p>
        </w:tc>
        <w:tc>
          <w:tcPr>
            <w:tcW w:w="0" w:type="dxa"/>
            <w:vAlign w:val="bottom"/>
          </w:tcPr>
          <w:p>
            <w:pPr>
              <w:spacing w:after="0"/>
              <w:rPr>
                <w:sz w:val="1"/>
                <w:szCs w:val="1"/>
                <w:color w:val="auto"/>
              </w:rPr>
            </w:pPr>
          </w:p>
        </w:tc>
      </w:tr>
      <w:tr>
        <w:trPr>
          <w:trHeight w:val="239"/>
        </w:trPr>
        <w:tc>
          <w:tcPr>
            <w:tcW w:w="20" w:type="dxa"/>
            <w:vAlign w:val="bottom"/>
            <w:vMerge w:val="restart"/>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Borders>
              <w:top w:val="single" w:sz="8" w:color="1E1E1E"/>
            </w:tcBorders>
          </w:tcPr>
          <w:p>
            <w:pPr>
              <w:spacing w:after="0"/>
              <w:rPr>
                <w:sz w:val="20"/>
                <w:szCs w:val="20"/>
                <w:color w:val="auto"/>
              </w:rPr>
            </w:pPr>
          </w:p>
        </w:tc>
        <w:tc>
          <w:tcPr>
            <w:tcW w:w="680" w:type="dxa"/>
            <w:vAlign w:val="bottom"/>
            <w:tcBorders>
              <w:top w:val="single" w:sz="8" w:color="1E1E1E"/>
            </w:tcBorders>
          </w:tcPr>
          <w:p>
            <w:pPr>
              <w:spacing w:after="0"/>
              <w:rPr>
                <w:sz w:val="20"/>
                <w:szCs w:val="20"/>
                <w:color w:val="auto"/>
              </w:rPr>
            </w:pPr>
          </w:p>
        </w:tc>
        <w:tc>
          <w:tcPr>
            <w:tcW w:w="100" w:type="dxa"/>
            <w:vAlign w:val="bottom"/>
            <w:tcBorders>
              <w:top w:val="single" w:sz="8" w:color="1E1E1E"/>
            </w:tcBorders>
          </w:tcPr>
          <w:p>
            <w:pPr>
              <w:spacing w:after="0"/>
              <w:rPr>
                <w:sz w:val="20"/>
                <w:szCs w:val="20"/>
                <w:color w:val="auto"/>
              </w:rPr>
            </w:pPr>
          </w:p>
        </w:tc>
        <w:tc>
          <w:tcPr>
            <w:tcW w:w="280" w:type="dxa"/>
            <w:vAlign w:val="bottom"/>
            <w:tcBorders>
              <w:top w:val="single" w:sz="8" w:color="1E1E1E"/>
            </w:tcBorders>
          </w:tcPr>
          <w:p>
            <w:pPr>
              <w:spacing w:after="0"/>
              <w:rPr>
                <w:sz w:val="20"/>
                <w:szCs w:val="20"/>
                <w:color w:val="auto"/>
              </w:rPr>
            </w:pPr>
          </w:p>
        </w:tc>
        <w:tc>
          <w:tcPr>
            <w:tcW w:w="160" w:type="dxa"/>
            <w:vAlign w:val="bottom"/>
            <w:tcBorders>
              <w:top w:val="single" w:sz="8" w:color="1E1E1E"/>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1E1E1E"/>
            </w:tcBorders>
          </w:tcPr>
          <w:p>
            <w:pPr>
              <w:spacing w:after="0"/>
              <w:rPr>
                <w:sz w:val="20"/>
                <w:szCs w:val="20"/>
                <w:color w:val="auto"/>
              </w:rPr>
            </w:pPr>
          </w:p>
        </w:tc>
        <w:tc>
          <w:tcPr>
            <w:tcW w:w="1360" w:type="dxa"/>
            <w:vAlign w:val="bottom"/>
            <w:tcBorders>
              <w:top w:val="single" w:sz="8" w:color="1E1E1E"/>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280" w:type="dxa"/>
            <w:vAlign w:val="bottom"/>
            <w:tcBorders>
              <w:bottom w:val="single" w:sz="8" w:color="1E1E1E"/>
              <w:right w:val="single" w:sz="8" w:color="E1E1E1"/>
            </w:tcBorders>
            <w:gridSpan w:val="2"/>
            <w:shd w:val="clear" w:color="auto" w:fill="E1E1E1"/>
          </w:tcPr>
          <w:p>
            <w:pPr>
              <w:spacing w:after="0" w:line="228" w:lineRule="exact"/>
              <w:rPr>
                <w:sz w:val="20"/>
                <w:szCs w:val="20"/>
                <w:color w:val="auto"/>
              </w:rPr>
            </w:pPr>
            <w:r>
              <w:rPr>
                <w:rFonts w:ascii="Times New Roman" w:cs="Times New Roman" w:eastAsia="Times New Roman" w:hAnsi="Times New Roman"/>
                <w:sz w:val="20"/>
                <w:szCs w:val="20"/>
                <w:color w:val="1E1E1E"/>
                <w:w w:val="97"/>
              </w:rPr>
              <w:t>Defined benefit plan activity</w:t>
            </w:r>
          </w:p>
        </w:tc>
        <w:tc>
          <w:tcPr>
            <w:tcW w:w="3800" w:type="dxa"/>
            <w:vAlign w:val="bottom"/>
            <w:tcBorders>
              <w:bottom w:val="single" w:sz="8" w:color="E1E1E1"/>
            </w:tcBorders>
            <w:shd w:val="clear" w:color="auto" w:fill="E1E1E1"/>
          </w:tcPr>
          <w:p>
            <w:pPr>
              <w:spacing w:after="0"/>
              <w:rPr>
                <w:sz w:val="19"/>
                <w:szCs w:val="19"/>
                <w:color w:val="auto"/>
              </w:rPr>
            </w:pPr>
          </w:p>
        </w:tc>
        <w:tc>
          <w:tcPr>
            <w:tcW w:w="1080" w:type="dxa"/>
            <w:vAlign w:val="bottom"/>
            <w:tcBorders>
              <w:bottom w:val="single" w:sz="8" w:color="E1E1E1"/>
            </w:tcBorders>
            <w:shd w:val="clear" w:color="auto" w:fill="E1E1E1"/>
          </w:tcPr>
          <w:p>
            <w:pPr>
              <w:spacing w:after="0"/>
              <w:rPr>
                <w:sz w:val="19"/>
                <w:szCs w:val="19"/>
                <w:color w:val="auto"/>
              </w:rPr>
            </w:pPr>
          </w:p>
        </w:tc>
        <w:tc>
          <w:tcPr>
            <w:tcW w:w="360" w:type="dxa"/>
            <w:vAlign w:val="bottom"/>
            <w:tcBorders>
              <w:bottom w:val="single" w:sz="8" w:color="E1E1E1"/>
            </w:tcBorders>
            <w:shd w:val="clear" w:color="auto" w:fill="E1E1E1"/>
          </w:tcPr>
          <w:p>
            <w:pPr>
              <w:spacing w:after="0"/>
              <w:rPr>
                <w:sz w:val="19"/>
                <w:szCs w:val="19"/>
                <w:color w:val="auto"/>
              </w:rPr>
            </w:pPr>
          </w:p>
        </w:tc>
        <w:tc>
          <w:tcPr>
            <w:tcW w:w="6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280" w:type="dxa"/>
            <w:vAlign w:val="bottom"/>
            <w:tcBorders>
              <w:bottom w:val="single" w:sz="8" w:color="E1E1E1"/>
            </w:tcBorders>
            <w:shd w:val="clear" w:color="auto" w:fill="E1E1E1"/>
          </w:tcPr>
          <w:p>
            <w:pPr>
              <w:spacing w:after="0"/>
              <w:rPr>
                <w:sz w:val="19"/>
                <w:szCs w:val="19"/>
                <w:color w:val="auto"/>
              </w:rPr>
            </w:pPr>
          </w:p>
        </w:tc>
        <w:tc>
          <w:tcPr>
            <w:tcW w:w="160" w:type="dxa"/>
            <w:vAlign w:val="bottom"/>
            <w:tcBorders>
              <w:bottom w:val="single" w:sz="8" w:color="E1E1E1"/>
            </w:tcBorders>
            <w:shd w:val="clear" w:color="auto" w:fill="E1E1E1"/>
          </w:tcPr>
          <w:p>
            <w:pPr>
              <w:spacing w:after="0"/>
              <w:rPr>
                <w:sz w:val="19"/>
                <w:szCs w:val="19"/>
                <w:color w:val="auto"/>
              </w:rPr>
            </w:pPr>
          </w:p>
        </w:tc>
        <w:tc>
          <w:tcPr>
            <w:tcW w:w="380" w:type="dxa"/>
            <w:vAlign w:val="bottom"/>
            <w:tcBorders>
              <w:bottom w:val="single" w:sz="8" w:color="E1E1E1"/>
            </w:tcBorders>
            <w:shd w:val="clear" w:color="auto" w:fill="E1E1E1"/>
          </w:tcPr>
          <w:p>
            <w:pPr>
              <w:spacing w:after="0"/>
              <w:rPr>
                <w:sz w:val="19"/>
                <w:szCs w:val="19"/>
                <w:color w:val="auto"/>
              </w:rPr>
            </w:pPr>
          </w:p>
        </w:tc>
        <w:tc>
          <w:tcPr>
            <w:tcW w:w="220" w:type="dxa"/>
            <w:vAlign w:val="bottom"/>
            <w:tcBorders>
              <w:bottom w:val="single" w:sz="8" w:color="E1E1E1"/>
            </w:tcBorders>
            <w:shd w:val="clear" w:color="auto" w:fill="E1E1E1"/>
          </w:tcPr>
          <w:p>
            <w:pPr>
              <w:spacing w:after="0"/>
              <w:rPr>
                <w:sz w:val="19"/>
                <w:szCs w:val="19"/>
                <w:color w:val="auto"/>
              </w:rPr>
            </w:pPr>
          </w:p>
        </w:tc>
        <w:tc>
          <w:tcPr>
            <w:tcW w:w="136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Pr>
          <w:p>
            <w:pPr>
              <w:spacing w:after="0"/>
              <w:rPr>
                <w:sz w:val="20"/>
                <w:szCs w:val="20"/>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1E1E1E"/>
              </w:rPr>
              <w:t>(15.5)</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(14.9)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gridSpan w:val="3"/>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comprehensive loss</w:t>
            </w:r>
          </w:p>
        </w:tc>
        <w:tc>
          <w:tcPr>
            <w:tcW w:w="1080" w:type="dxa"/>
            <w:vAlign w:val="bottom"/>
            <w:shd w:val="clear" w:color="auto" w:fill="E1E1E1"/>
          </w:tcPr>
          <w:p>
            <w:pPr>
              <w:spacing w:after="0"/>
              <w:rPr>
                <w:sz w:val="21"/>
                <w:szCs w:val="21"/>
                <w:color w:val="auto"/>
              </w:rPr>
            </w:pPr>
          </w:p>
        </w:tc>
        <w:tc>
          <w:tcPr>
            <w:tcW w:w="360" w:type="dxa"/>
            <w:vAlign w:val="bottom"/>
            <w:shd w:val="clear" w:color="auto" w:fill="E1E1E1"/>
          </w:tcPr>
          <w:p>
            <w:pPr>
              <w:spacing w:after="0"/>
              <w:rPr>
                <w:sz w:val="21"/>
                <w:szCs w:val="21"/>
                <w:color w:val="auto"/>
              </w:rPr>
            </w:pPr>
          </w:p>
        </w:tc>
        <w:tc>
          <w:tcPr>
            <w:tcW w:w="680" w:type="dxa"/>
            <w:vAlign w:val="bottom"/>
            <w:shd w:val="clear" w:color="auto" w:fill="E1E1E1"/>
          </w:tcPr>
          <w:p>
            <w:pPr>
              <w:spacing w:after="0"/>
              <w:rPr>
                <w:sz w:val="21"/>
                <w:szCs w:val="21"/>
                <w:color w:val="auto"/>
              </w:rPr>
            </w:pPr>
          </w:p>
        </w:tc>
        <w:tc>
          <w:tcPr>
            <w:tcW w:w="920" w:type="dxa"/>
            <w:vAlign w:val="bottom"/>
            <w:gridSpan w:val="4"/>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(2.4)</w:t>
            </w:r>
          </w:p>
        </w:tc>
        <w:tc>
          <w:tcPr>
            <w:tcW w:w="220" w:type="dxa"/>
            <w:vAlign w:val="bottom"/>
            <w:shd w:val="clear" w:color="auto" w:fill="E1E1E1"/>
          </w:tcPr>
          <w:p>
            <w:pPr>
              <w:spacing w:after="0"/>
              <w:rPr>
                <w:sz w:val="21"/>
                <w:szCs w:val="21"/>
                <w:color w:val="auto"/>
              </w:rPr>
            </w:pPr>
          </w:p>
        </w:tc>
        <w:tc>
          <w:tcPr>
            <w:tcW w:w="14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(0.3)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Amounts reclassified from AOCL</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1E1E1E"/>
              </w:rPr>
              <w:t>(0.8)</w:t>
            </w:r>
          </w:p>
        </w:tc>
        <w:tc>
          <w:tcPr>
            <w:tcW w:w="2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gridSpan w:val="3"/>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1080" w:type="dxa"/>
            <w:vAlign w:val="bottom"/>
            <w:shd w:val="clear" w:color="auto" w:fill="E1E1E1"/>
          </w:tcPr>
          <w:p>
            <w:pPr>
              <w:spacing w:after="0" w:line="20" w:lineRule="exact"/>
              <w:rPr>
                <w:sz w:val="1"/>
                <w:szCs w:val="1"/>
                <w:color w:val="auto"/>
              </w:rPr>
            </w:pPr>
          </w:p>
        </w:tc>
        <w:tc>
          <w:tcPr>
            <w:tcW w:w="360" w:type="dxa"/>
            <w:vAlign w:val="bottom"/>
            <w:shd w:val="clear" w:color="auto" w:fill="1E1E1E"/>
          </w:tcPr>
          <w:p>
            <w:pPr>
              <w:spacing w:after="0" w:line="20" w:lineRule="exact"/>
              <w:rPr>
                <w:sz w:val="1"/>
                <w:szCs w:val="1"/>
                <w:color w:val="auto"/>
              </w:rPr>
            </w:pPr>
          </w:p>
        </w:tc>
        <w:tc>
          <w:tcPr>
            <w:tcW w:w="680" w:type="dxa"/>
            <w:vAlign w:val="bottom"/>
            <w:shd w:val="clear" w:color="auto" w:fill="1E1E1E"/>
          </w:tcPr>
          <w:p>
            <w:pPr>
              <w:spacing w:after="0" w:line="20" w:lineRule="exact"/>
              <w:rPr>
                <w:sz w:val="1"/>
                <w:szCs w:val="1"/>
                <w:color w:val="auto"/>
              </w:rPr>
            </w:pPr>
          </w:p>
        </w:tc>
        <w:tc>
          <w:tcPr>
            <w:tcW w:w="540" w:type="dxa"/>
            <w:vAlign w:val="bottom"/>
            <w:gridSpan w:val="3"/>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136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080" w:type="dxa"/>
            <w:vAlign w:val="bottom"/>
            <w:gridSpan w:val="3"/>
            <w:vMerge w:val="continue"/>
            <w:shd w:val="clear" w:color="auto" w:fill="E1E1E1"/>
          </w:tcPr>
          <w:p>
            <w:pPr>
              <w:spacing w:after="0"/>
              <w:rPr>
                <w:sz w:val="20"/>
                <w:szCs w:val="20"/>
                <w:color w:val="auto"/>
              </w:rPr>
            </w:pPr>
          </w:p>
        </w:tc>
        <w:tc>
          <w:tcPr>
            <w:tcW w:w="1080" w:type="dxa"/>
            <w:vAlign w:val="bottom"/>
            <w:shd w:val="clear" w:color="auto" w:fill="E1E1E1"/>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680" w:type="dxa"/>
            <w:vAlign w:val="bottom"/>
          </w:tcPr>
          <w:p>
            <w:pPr>
              <w:spacing w:after="0"/>
              <w:rPr>
                <w:sz w:val="20"/>
                <w:szCs w:val="20"/>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1E1E1E"/>
              </w:rPr>
              <w:t>(18.7)</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(15.5)</w:t>
            </w:r>
          </w:p>
        </w:tc>
        <w:tc>
          <w:tcPr>
            <w:tcW w:w="0" w:type="dxa"/>
            <w:vAlign w:val="bottom"/>
          </w:tcPr>
          <w:p>
            <w:pPr>
              <w:spacing w:after="0"/>
              <w:rPr>
                <w:sz w:val="1"/>
                <w:szCs w:val="1"/>
                <w:color w:val="auto"/>
              </w:rPr>
            </w:pPr>
          </w:p>
        </w:tc>
      </w:tr>
      <w:tr>
        <w:trPr>
          <w:trHeight w:val="239"/>
        </w:trPr>
        <w:tc>
          <w:tcPr>
            <w:tcW w:w="20" w:type="dxa"/>
            <w:vAlign w:val="bottom"/>
            <w:vMerge w:val="restart"/>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Borders>
              <w:top w:val="single" w:sz="8" w:color="1E1E1E"/>
            </w:tcBorders>
          </w:tcPr>
          <w:p>
            <w:pPr>
              <w:spacing w:after="0"/>
              <w:rPr>
                <w:sz w:val="20"/>
                <w:szCs w:val="20"/>
                <w:color w:val="auto"/>
              </w:rPr>
            </w:pPr>
          </w:p>
        </w:tc>
        <w:tc>
          <w:tcPr>
            <w:tcW w:w="680" w:type="dxa"/>
            <w:vAlign w:val="bottom"/>
            <w:tcBorders>
              <w:top w:val="single" w:sz="8" w:color="1E1E1E"/>
            </w:tcBorders>
          </w:tcPr>
          <w:p>
            <w:pPr>
              <w:spacing w:after="0"/>
              <w:rPr>
                <w:sz w:val="20"/>
                <w:szCs w:val="20"/>
                <w:color w:val="auto"/>
              </w:rPr>
            </w:pPr>
          </w:p>
        </w:tc>
        <w:tc>
          <w:tcPr>
            <w:tcW w:w="100" w:type="dxa"/>
            <w:vAlign w:val="bottom"/>
            <w:tcBorders>
              <w:top w:val="single" w:sz="8" w:color="1E1E1E"/>
            </w:tcBorders>
          </w:tcPr>
          <w:p>
            <w:pPr>
              <w:spacing w:after="0"/>
              <w:rPr>
                <w:sz w:val="20"/>
                <w:szCs w:val="20"/>
                <w:color w:val="auto"/>
              </w:rPr>
            </w:pPr>
          </w:p>
        </w:tc>
        <w:tc>
          <w:tcPr>
            <w:tcW w:w="280" w:type="dxa"/>
            <w:vAlign w:val="bottom"/>
            <w:tcBorders>
              <w:top w:val="single" w:sz="8" w:color="1E1E1E"/>
            </w:tcBorders>
          </w:tcPr>
          <w:p>
            <w:pPr>
              <w:spacing w:after="0"/>
              <w:rPr>
                <w:sz w:val="20"/>
                <w:szCs w:val="20"/>
                <w:color w:val="auto"/>
              </w:rPr>
            </w:pPr>
          </w:p>
        </w:tc>
        <w:tc>
          <w:tcPr>
            <w:tcW w:w="160" w:type="dxa"/>
            <w:vAlign w:val="bottom"/>
            <w:tcBorders>
              <w:top w:val="single" w:sz="8" w:color="1E1E1E"/>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1E1E1E"/>
            </w:tcBorders>
          </w:tcPr>
          <w:p>
            <w:pPr>
              <w:spacing w:after="0"/>
              <w:rPr>
                <w:sz w:val="20"/>
                <w:szCs w:val="20"/>
                <w:color w:val="auto"/>
              </w:rPr>
            </w:pPr>
          </w:p>
        </w:tc>
        <w:tc>
          <w:tcPr>
            <w:tcW w:w="1360" w:type="dxa"/>
            <w:vAlign w:val="bottom"/>
            <w:tcBorders>
              <w:top w:val="single" w:sz="8" w:color="1E1E1E"/>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1660" w:type="dxa"/>
            <w:vAlign w:val="bottom"/>
            <w:tcBorders>
              <w:bottom w:val="single" w:sz="8" w:color="1E1E1E"/>
            </w:tcBorders>
            <w:shd w:val="clear" w:color="auto" w:fill="E1E1E1"/>
          </w:tcPr>
          <w:p>
            <w:pPr>
              <w:spacing w:after="0" w:line="228" w:lineRule="exact"/>
              <w:rPr>
                <w:sz w:val="20"/>
                <w:szCs w:val="20"/>
                <w:color w:val="auto"/>
              </w:rPr>
            </w:pPr>
            <w:r>
              <w:rPr>
                <w:rFonts w:ascii="Times New Roman" w:cs="Times New Roman" w:eastAsia="Times New Roman" w:hAnsi="Times New Roman"/>
                <w:sz w:val="20"/>
                <w:szCs w:val="20"/>
                <w:color w:val="1E1E1E"/>
                <w:w w:val="98"/>
              </w:rPr>
              <w:t>Hedging instruments</w:t>
            </w:r>
          </w:p>
        </w:tc>
        <w:tc>
          <w:tcPr>
            <w:tcW w:w="4420" w:type="dxa"/>
            <w:vAlign w:val="bottom"/>
            <w:tcBorders>
              <w:bottom w:val="single" w:sz="8" w:color="E1E1E1"/>
            </w:tcBorders>
            <w:gridSpan w:val="2"/>
            <w:shd w:val="clear" w:color="auto" w:fill="E1E1E1"/>
          </w:tcPr>
          <w:p>
            <w:pPr>
              <w:spacing w:after="0"/>
              <w:rPr>
                <w:sz w:val="19"/>
                <w:szCs w:val="19"/>
                <w:color w:val="auto"/>
              </w:rPr>
            </w:pPr>
          </w:p>
        </w:tc>
        <w:tc>
          <w:tcPr>
            <w:tcW w:w="1080" w:type="dxa"/>
            <w:vAlign w:val="bottom"/>
            <w:tcBorders>
              <w:bottom w:val="single" w:sz="8" w:color="E1E1E1"/>
            </w:tcBorders>
            <w:shd w:val="clear" w:color="auto" w:fill="E1E1E1"/>
          </w:tcPr>
          <w:p>
            <w:pPr>
              <w:spacing w:after="0"/>
              <w:rPr>
                <w:sz w:val="19"/>
                <w:szCs w:val="19"/>
                <w:color w:val="auto"/>
              </w:rPr>
            </w:pPr>
          </w:p>
        </w:tc>
        <w:tc>
          <w:tcPr>
            <w:tcW w:w="360" w:type="dxa"/>
            <w:vAlign w:val="bottom"/>
            <w:tcBorders>
              <w:bottom w:val="single" w:sz="8" w:color="E1E1E1"/>
            </w:tcBorders>
            <w:shd w:val="clear" w:color="auto" w:fill="E1E1E1"/>
          </w:tcPr>
          <w:p>
            <w:pPr>
              <w:spacing w:after="0"/>
              <w:rPr>
                <w:sz w:val="19"/>
                <w:szCs w:val="19"/>
                <w:color w:val="auto"/>
              </w:rPr>
            </w:pPr>
          </w:p>
        </w:tc>
        <w:tc>
          <w:tcPr>
            <w:tcW w:w="6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280" w:type="dxa"/>
            <w:vAlign w:val="bottom"/>
            <w:tcBorders>
              <w:bottom w:val="single" w:sz="8" w:color="E1E1E1"/>
            </w:tcBorders>
            <w:shd w:val="clear" w:color="auto" w:fill="E1E1E1"/>
          </w:tcPr>
          <w:p>
            <w:pPr>
              <w:spacing w:after="0"/>
              <w:rPr>
                <w:sz w:val="19"/>
                <w:szCs w:val="19"/>
                <w:color w:val="auto"/>
              </w:rPr>
            </w:pPr>
          </w:p>
        </w:tc>
        <w:tc>
          <w:tcPr>
            <w:tcW w:w="160" w:type="dxa"/>
            <w:vAlign w:val="bottom"/>
            <w:tcBorders>
              <w:bottom w:val="single" w:sz="8" w:color="E1E1E1"/>
            </w:tcBorders>
            <w:shd w:val="clear" w:color="auto" w:fill="E1E1E1"/>
          </w:tcPr>
          <w:p>
            <w:pPr>
              <w:spacing w:after="0"/>
              <w:rPr>
                <w:sz w:val="19"/>
                <w:szCs w:val="19"/>
                <w:color w:val="auto"/>
              </w:rPr>
            </w:pPr>
          </w:p>
        </w:tc>
        <w:tc>
          <w:tcPr>
            <w:tcW w:w="380" w:type="dxa"/>
            <w:vAlign w:val="bottom"/>
            <w:tcBorders>
              <w:bottom w:val="single" w:sz="8" w:color="E1E1E1"/>
            </w:tcBorders>
            <w:shd w:val="clear" w:color="auto" w:fill="E1E1E1"/>
          </w:tcPr>
          <w:p>
            <w:pPr>
              <w:spacing w:after="0"/>
              <w:rPr>
                <w:sz w:val="19"/>
                <w:szCs w:val="19"/>
                <w:color w:val="auto"/>
              </w:rPr>
            </w:pPr>
          </w:p>
        </w:tc>
        <w:tc>
          <w:tcPr>
            <w:tcW w:w="220" w:type="dxa"/>
            <w:vAlign w:val="bottom"/>
            <w:tcBorders>
              <w:bottom w:val="single" w:sz="8" w:color="E1E1E1"/>
            </w:tcBorders>
            <w:shd w:val="clear" w:color="auto" w:fill="E1E1E1"/>
          </w:tcPr>
          <w:p>
            <w:pPr>
              <w:spacing w:after="0"/>
              <w:rPr>
                <w:sz w:val="19"/>
                <w:szCs w:val="19"/>
                <w:color w:val="auto"/>
              </w:rPr>
            </w:pPr>
          </w:p>
        </w:tc>
        <w:tc>
          <w:tcPr>
            <w:tcW w:w="136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Pr>
          <w:p>
            <w:pPr>
              <w:spacing w:after="0"/>
              <w:rPr>
                <w:sz w:val="20"/>
                <w:szCs w:val="20"/>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1E1E1E"/>
              </w:rPr>
              <w:t>(20.2)</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(19.4)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gridSpan w:val="3"/>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comprehensive loss</w:t>
            </w:r>
          </w:p>
        </w:tc>
        <w:tc>
          <w:tcPr>
            <w:tcW w:w="1080" w:type="dxa"/>
            <w:vAlign w:val="bottom"/>
            <w:shd w:val="clear" w:color="auto" w:fill="E1E1E1"/>
          </w:tcPr>
          <w:p>
            <w:pPr>
              <w:spacing w:after="0"/>
              <w:rPr>
                <w:sz w:val="21"/>
                <w:szCs w:val="21"/>
                <w:color w:val="auto"/>
              </w:rPr>
            </w:pPr>
          </w:p>
        </w:tc>
        <w:tc>
          <w:tcPr>
            <w:tcW w:w="360" w:type="dxa"/>
            <w:vAlign w:val="bottom"/>
            <w:shd w:val="clear" w:color="auto" w:fill="E1E1E1"/>
          </w:tcPr>
          <w:p>
            <w:pPr>
              <w:spacing w:after="0"/>
              <w:rPr>
                <w:sz w:val="21"/>
                <w:szCs w:val="21"/>
                <w:color w:val="auto"/>
              </w:rPr>
            </w:pPr>
          </w:p>
        </w:tc>
        <w:tc>
          <w:tcPr>
            <w:tcW w:w="680" w:type="dxa"/>
            <w:vAlign w:val="bottom"/>
            <w:shd w:val="clear" w:color="auto" w:fill="E1E1E1"/>
          </w:tcPr>
          <w:p>
            <w:pPr>
              <w:spacing w:after="0"/>
              <w:rPr>
                <w:sz w:val="21"/>
                <w:szCs w:val="21"/>
                <w:color w:val="auto"/>
              </w:rPr>
            </w:pPr>
          </w:p>
        </w:tc>
        <w:tc>
          <w:tcPr>
            <w:tcW w:w="920" w:type="dxa"/>
            <w:vAlign w:val="bottom"/>
            <w:gridSpan w:val="4"/>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rPr>
              <w:t>(0.5)</w:t>
            </w:r>
          </w:p>
        </w:tc>
        <w:tc>
          <w:tcPr>
            <w:tcW w:w="220" w:type="dxa"/>
            <w:vAlign w:val="bottom"/>
            <w:shd w:val="clear" w:color="auto" w:fill="E1E1E1"/>
          </w:tcPr>
          <w:p>
            <w:pPr>
              <w:spacing w:after="0"/>
              <w:rPr>
                <w:sz w:val="21"/>
                <w:szCs w:val="21"/>
                <w:color w:val="auto"/>
              </w:rPr>
            </w:pPr>
          </w:p>
        </w:tc>
        <w:tc>
          <w:tcPr>
            <w:tcW w:w="14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(0.8)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tcBorders>
              <w:bottom w:val="single" w:sz="8" w:color="E1E1E1"/>
            </w:tcBorders>
            <w:gridSpan w:val="3"/>
          </w:tcPr>
          <w:p>
            <w:pPr>
              <w:spacing w:after="0"/>
              <w:rPr>
                <w:sz w:val="20"/>
                <w:szCs w:val="20"/>
                <w:color w:val="auto"/>
              </w:rPr>
            </w:pPr>
            <w:r>
              <w:rPr>
                <w:rFonts w:ascii="Times New Roman" w:cs="Times New Roman" w:eastAsia="Times New Roman" w:hAnsi="Times New Roman"/>
                <w:sz w:val="20"/>
                <w:szCs w:val="20"/>
                <w:color w:val="1E1E1E"/>
              </w:rPr>
              <w:t>Amounts reclassified from AOCL</w:t>
            </w:r>
          </w:p>
        </w:tc>
        <w:tc>
          <w:tcPr>
            <w:tcW w:w="1080" w:type="dxa"/>
            <w:vAlign w:val="bottom"/>
            <w:tcBorders>
              <w:bottom w:val="single" w:sz="8" w:color="E1E1E1"/>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680" w:type="dxa"/>
            <w:vAlign w:val="bottom"/>
            <w:tcBorders>
              <w:bottom w:val="single" w:sz="8" w:color="1E1E1E"/>
            </w:tcBorders>
          </w:tcPr>
          <w:p>
            <w:pPr>
              <w:spacing w:after="0"/>
              <w:rPr>
                <w:sz w:val="21"/>
                <w:szCs w:val="21"/>
                <w:color w:val="auto"/>
              </w:rPr>
            </w:pPr>
          </w:p>
        </w:tc>
        <w:tc>
          <w:tcPr>
            <w:tcW w:w="540" w:type="dxa"/>
            <w:vAlign w:val="bottom"/>
            <w:tcBorders>
              <w:bottom w:val="single" w:sz="8" w:color="1E1E1E"/>
            </w:tcBorders>
            <w:gridSpan w:val="3"/>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380" w:type="dxa"/>
            <w:vAlign w:val="bottom"/>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80" w:type="dxa"/>
            <w:vAlign w:val="bottom"/>
            <w:gridSpan w:val="3"/>
            <w:shd w:val="clear" w:color="auto" w:fill="E1E1E1"/>
          </w:tcPr>
          <w:p>
            <w:pPr>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1080" w:type="dxa"/>
            <w:vAlign w:val="bottom"/>
            <w:shd w:val="clear" w:color="auto" w:fill="E1E1E1"/>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680" w:type="dxa"/>
            <w:vAlign w:val="bottom"/>
          </w:tcPr>
          <w:p>
            <w:pPr>
              <w:spacing w:after="0"/>
              <w:rPr>
                <w:sz w:val="20"/>
                <w:szCs w:val="20"/>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1E1E1E"/>
              </w:rPr>
              <w:t>(18.4)</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1E1E1E"/>
              </w:rPr>
              <w:t>Net AOCL at end of period</w:t>
            </w:r>
          </w:p>
        </w:tc>
        <w:tc>
          <w:tcPr>
            <w:tcW w:w="1080" w:type="dxa"/>
            <w:vAlign w:val="bottom"/>
            <w:vMerge w:val="restart"/>
          </w:tcPr>
          <w:p>
            <w:pPr>
              <w:spacing w:after="0" w:line="20" w:lineRule="exact"/>
              <w:rPr>
                <w:sz w:val="1"/>
                <w:szCs w:val="1"/>
                <w:color w:val="auto"/>
              </w:rPr>
            </w:pPr>
          </w:p>
        </w:tc>
        <w:tc>
          <w:tcPr>
            <w:tcW w:w="360" w:type="dxa"/>
            <w:vAlign w:val="bottom"/>
            <w:shd w:val="clear" w:color="auto" w:fill="1E1E1E"/>
          </w:tcPr>
          <w:p>
            <w:pPr>
              <w:spacing w:after="0" w:line="20" w:lineRule="exact"/>
              <w:rPr>
                <w:sz w:val="1"/>
                <w:szCs w:val="1"/>
                <w:color w:val="auto"/>
              </w:rPr>
            </w:pPr>
          </w:p>
        </w:tc>
        <w:tc>
          <w:tcPr>
            <w:tcW w:w="680" w:type="dxa"/>
            <w:vAlign w:val="bottom"/>
            <w:shd w:val="clear" w:color="auto" w:fill="1E1E1E"/>
          </w:tcPr>
          <w:p>
            <w:pPr>
              <w:spacing w:after="0" w:line="20" w:lineRule="exact"/>
              <w:rPr>
                <w:sz w:val="1"/>
                <w:szCs w:val="1"/>
                <w:color w:val="auto"/>
              </w:rPr>
            </w:pPr>
          </w:p>
        </w:tc>
        <w:tc>
          <w:tcPr>
            <w:tcW w:w="540" w:type="dxa"/>
            <w:vAlign w:val="bottom"/>
            <w:gridSpan w:val="3"/>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136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080" w:type="dxa"/>
            <w:vAlign w:val="bottom"/>
            <w:gridSpan w:val="3"/>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680" w:type="dxa"/>
            <w:vAlign w:val="bottom"/>
          </w:tcPr>
          <w:p>
            <w:pPr>
              <w:spacing w:after="0"/>
              <w:rPr>
                <w:sz w:val="20"/>
                <w:szCs w:val="20"/>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1E1E1E"/>
              </w:rPr>
              <w:t>(118.7)</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3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-2254250</wp:posOffset>
            </wp:positionV>
            <wp:extent cx="2241550" cy="164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extLst>
                    </a:blip>
                    <a:srcRect/>
                    <a:stretch>
                      <a:fillRect/>
                    </a:stretch>
                  </pic:blipFill>
                  <pic:spPr bwMode="auto">
                    <a:xfrm>
                      <a:off x="0" y="0"/>
                      <a:ext cx="2241550" cy="16446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-1305560</wp:posOffset>
            </wp:positionV>
            <wp:extent cx="2241550" cy="164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extLst>
                    </a:blip>
                    <a:srcRect/>
                    <a:stretch>
                      <a:fillRect/>
                    </a:stretch>
                  </pic:blipFill>
                  <pic:spPr bwMode="auto">
                    <a:xfrm>
                      <a:off x="0" y="0"/>
                      <a:ext cx="2241550" cy="16446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-356870</wp:posOffset>
            </wp:positionV>
            <wp:extent cx="2241550" cy="164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extLst>
                    </a:blip>
                    <a:srcRect/>
                    <a:stretch>
                      <a:fillRect/>
                    </a:stretch>
                  </pic:blipFill>
                  <pic:spPr bwMode="auto">
                    <a:xfrm>
                      <a:off x="0" y="0"/>
                      <a:ext cx="2241550" cy="164465"/>
                    </a:xfrm>
                    <a:prstGeom prst="rect">
                      <a:avLst/>
                    </a:prstGeom>
                    <a:noFill/>
                  </pic:spPr>
                </pic:pic>
              </a:graphicData>
            </a:graphic>
          </wp:anchor>
        </w:drawing>
      </w:r>
    </w:p>
    <w:p>
      <w:pPr>
        <w:spacing w:after="0" w:line="19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1E1E1E"/>
        </w:rPr>
        <w:t>During the year ended December 31, 2025, $2.2 million of foreign currency translation related to the divestiture of the OneCell business was reclassified from net AOCL and recorded in other on the Consolidated Statements of Operations. During the year ended December 31, 2025 and 2024, $97.9 million and $27.4 million, respectively, of foreign currency translation related to the divestitures of the Company’s discontinued operations were reclassified from net AOCL and recorded in the gain (loss) on disposal of discontinued operations before income taxes, included in income (loss) from discontinued operations, net of income taxes, on the Consolidated Statements of Operations. In addition, $2.3 million of net losses remaining as a component of net AOCL related to the discontinued interest rate hedging instruments, was reclassified from net AOCL and recorded in interest expense, included in income (loss) from discontinued operations, net of income taxes on the Consolidated Statements of Operations. For further discussions of the Company’s divestitures, see Note 4 included in these consolidated financial statements.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84</w:t>
      </w:r>
    </w:p>
    <w:p>
      <w:pPr>
        <w:sectPr>
          <w:pgSz w:w="11880" w:h="15480" w:orient="portrait"/>
          <w:cols w:equalWidth="0" w:num="1">
            <w:col w:w="10800"/>
          </w:cols>
          <w:pgMar w:left="540" w:top="515" w:right="540" w:bottom="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Cash Flow Information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20" w:type="dxa"/>
            <w:vAlign w:val="bottom"/>
          </w:tcPr>
          <w:p>
            <w:pPr>
              <w:spacing w:after="0"/>
              <w:rPr>
                <w:sz w:val="17"/>
                <w:szCs w:val="17"/>
                <w:color w:val="auto"/>
              </w:rPr>
            </w:pPr>
          </w:p>
        </w:tc>
        <w:tc>
          <w:tcPr>
            <w:tcW w:w="880" w:type="dxa"/>
            <w:vAlign w:val="bottom"/>
            <w:tcBorders>
              <w:bottom w:val="single" w:sz="8" w:color="1E1E1E"/>
            </w:tcBorders>
          </w:tcPr>
          <w:p>
            <w:pPr>
              <w:spacing w:after="0"/>
              <w:rPr>
                <w:sz w:val="17"/>
                <w:szCs w:val="17"/>
                <w:color w:val="auto"/>
              </w:rPr>
            </w:pPr>
          </w:p>
        </w:tc>
        <w:tc>
          <w:tcPr>
            <w:tcW w:w="540" w:type="dxa"/>
            <w:vAlign w:val="bottom"/>
            <w:tcBorders>
              <w:bottom w:val="single" w:sz="8" w:color="1E1E1E"/>
            </w:tcBorders>
          </w:tcPr>
          <w:p>
            <w:pPr>
              <w:spacing w:after="0"/>
              <w:rPr>
                <w:sz w:val="17"/>
                <w:szCs w:val="17"/>
                <w:color w:val="auto"/>
              </w:rPr>
            </w:pPr>
          </w:p>
        </w:tc>
        <w:tc>
          <w:tcPr>
            <w:tcW w:w="2080" w:type="dxa"/>
            <w:vAlign w:val="bottom"/>
            <w:tcBorders>
              <w:bottom w:val="single" w:sz="8" w:color="1E1E1E"/>
            </w:tcBorders>
            <w:gridSpan w:val="7"/>
          </w:tcPr>
          <w:p>
            <w:pPr>
              <w:jc w:val="right"/>
              <w:ind w:right="1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200" w:type="dxa"/>
            <w:vAlign w:val="bottom"/>
            <w:tcBorders>
              <w:bottom w:val="single" w:sz="8" w:color="1E1E1E"/>
            </w:tcBorders>
          </w:tcPr>
          <w:p>
            <w:pPr>
              <w:spacing w:after="0"/>
              <w:rPr>
                <w:sz w:val="17"/>
                <w:szCs w:val="17"/>
                <w:color w:val="auto"/>
              </w:rPr>
            </w:pPr>
          </w:p>
        </w:tc>
        <w:tc>
          <w:tcPr>
            <w:tcW w:w="1220" w:type="dxa"/>
            <w:vAlign w:val="bottom"/>
            <w:tcBorders>
              <w:bottom w:val="single" w:sz="8" w:color="1E1E1E"/>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5820" w:type="dxa"/>
            <w:vAlign w:val="bottom"/>
            <w:tcBorders>
              <w:bottom w:val="single" w:sz="8" w:color="E1E1E1"/>
            </w:tcBorders>
          </w:tcPr>
          <w:p>
            <w:pPr>
              <w:spacing w:after="0"/>
              <w:rPr>
                <w:sz w:val="16"/>
                <w:szCs w:val="16"/>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540" w:type="dxa"/>
            <w:vAlign w:val="bottom"/>
            <w:tcBorders>
              <w:bottom w:val="single" w:sz="8" w:color="1E1E1E"/>
            </w:tcBorders>
          </w:tcPr>
          <w:p>
            <w:pPr>
              <w:spacing w:after="0"/>
              <w:rPr>
                <w:sz w:val="16"/>
                <w:szCs w:val="16"/>
                <w:color w:val="auto"/>
              </w:rPr>
            </w:pPr>
          </w:p>
        </w:tc>
        <w:tc>
          <w:tcPr>
            <w:tcW w:w="340" w:type="dxa"/>
            <w:vAlign w:val="bottom"/>
            <w:tcBorders>
              <w:bottom w:val="single" w:sz="8" w:color="E1E1E1"/>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760" w:type="dxa"/>
            <w:vAlign w:val="bottom"/>
            <w:tcBorders>
              <w:bottom w:val="single" w:sz="8" w:color="1E1E1E"/>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40" w:type="dxa"/>
            <w:vAlign w:val="bottom"/>
            <w:tcBorders>
              <w:bottom w:val="single" w:sz="8" w:color="1E1E1E"/>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100" w:type="dxa"/>
            <w:vAlign w:val="bottom"/>
            <w:tcBorders>
              <w:bottom w:val="single" w:sz="8" w:color="1E1E1E"/>
            </w:tcBorders>
          </w:tcPr>
          <w:p>
            <w:pPr>
              <w:spacing w:after="0"/>
              <w:rPr>
                <w:sz w:val="16"/>
                <w:szCs w:val="16"/>
                <w:color w:val="auto"/>
              </w:rPr>
            </w:pPr>
          </w:p>
        </w:tc>
        <w:tc>
          <w:tcPr>
            <w:tcW w:w="340" w:type="dxa"/>
            <w:vAlign w:val="bottom"/>
            <w:tcBorders>
              <w:bottom w:val="single" w:sz="8" w:color="E1E1E1"/>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1220" w:type="dxa"/>
            <w:vAlign w:val="bottom"/>
            <w:tcBorders>
              <w:bottom w:val="single" w:sz="8" w:color="1E1E1E"/>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60" w:type="dxa"/>
            <w:vAlign w:val="bottom"/>
            <w:tcBorders>
              <w:bottom w:val="single" w:sz="8" w:color="E1E1E1"/>
            </w:tcBorders>
          </w:tcPr>
          <w:p>
            <w:pPr>
              <w:spacing w:after="0"/>
              <w:rPr>
                <w:sz w:val="16"/>
                <w:szCs w:val="16"/>
                <w:color w:val="auto"/>
              </w:rPr>
            </w:pPr>
          </w:p>
        </w:tc>
      </w:tr>
      <w:tr>
        <w:trPr>
          <w:trHeight w:val="239"/>
        </w:trPr>
        <w:tc>
          <w:tcPr>
            <w:tcW w:w="58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Cash paid during the period for:</w:t>
            </w:r>
          </w:p>
        </w:tc>
        <w:tc>
          <w:tcPr>
            <w:tcW w:w="8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34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760" w:type="dxa"/>
            <w:vAlign w:val="bottom"/>
            <w:shd w:val="clear" w:color="auto" w:fill="E1E1E1"/>
          </w:tcPr>
          <w:p>
            <w:pPr>
              <w:spacing w:after="0"/>
              <w:rPr>
                <w:sz w:val="20"/>
                <w:szCs w:val="20"/>
                <w:color w:val="auto"/>
              </w:rPr>
            </w:pPr>
          </w:p>
        </w:tc>
        <w:tc>
          <w:tcPr>
            <w:tcW w:w="40" w:type="dxa"/>
            <w:vAlign w:val="bottom"/>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34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220" w:type="dxa"/>
            <w:vAlign w:val="bottom"/>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r>
      <w:tr>
        <w:trPr>
          <w:trHeight w:val="244"/>
        </w:trPr>
        <w:tc>
          <w:tcPr>
            <w:tcW w:w="58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Income taxes, net of refunds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20"/>
                <w:szCs w:val="20"/>
                <w:color w:val="1E1E1E"/>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204.6</w:t>
            </w:r>
          </w:p>
        </w:tc>
        <w:tc>
          <w:tcPr>
            <w:tcW w:w="34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1E1E1E"/>
              </w:rPr>
              <w:t>100.4</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101.1</w:t>
            </w:r>
          </w:p>
        </w:tc>
        <w:tc>
          <w:tcPr>
            <w:tcW w:w="60" w:type="dxa"/>
            <w:vAlign w:val="bottom"/>
          </w:tcPr>
          <w:p>
            <w:pPr>
              <w:spacing w:after="0"/>
              <w:rPr>
                <w:sz w:val="21"/>
                <w:szCs w:val="21"/>
                <w:color w:val="auto"/>
              </w:rPr>
            </w:pPr>
          </w:p>
        </w:tc>
      </w:tr>
      <w:tr>
        <w:trPr>
          <w:trHeight w:val="244"/>
        </w:trPr>
        <w:tc>
          <w:tcPr>
            <w:tcW w:w="5820" w:type="dxa"/>
            <w:vAlign w:val="bottom"/>
            <w:shd w:val="clear" w:color="auto" w:fill="E1E1E1"/>
          </w:tcPr>
          <w:p>
            <w:pPr>
              <w:ind w:left="160"/>
              <w:spacing w:after="0"/>
              <w:rPr>
                <w:sz w:val="20"/>
                <w:szCs w:val="20"/>
                <w:color w:val="auto"/>
              </w:rPr>
            </w:pPr>
            <w:r>
              <w:rPr>
                <w:rFonts w:ascii="Times New Roman" w:cs="Times New Roman" w:eastAsia="Times New Roman" w:hAnsi="Times New Roman"/>
                <w:sz w:val="20"/>
                <w:szCs w:val="20"/>
                <w:color w:val="1E1E1E"/>
              </w:rPr>
              <w:t>Interest</w:t>
            </w:r>
          </w:p>
        </w:tc>
        <w:tc>
          <w:tcPr>
            <w:tcW w:w="880" w:type="dxa"/>
            <w:vAlign w:val="bottom"/>
            <w:shd w:val="clear" w:color="auto" w:fill="E1E1E1"/>
          </w:tcPr>
          <w:p>
            <w:pPr>
              <w:spacing w:after="0"/>
              <w:rPr>
                <w:sz w:val="21"/>
                <w:szCs w:val="21"/>
                <w:color w:val="auto"/>
              </w:rPr>
            </w:pPr>
          </w:p>
        </w:tc>
        <w:tc>
          <w:tcPr>
            <w:tcW w:w="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640.4</w:t>
            </w:r>
          </w:p>
        </w:tc>
        <w:tc>
          <w:tcPr>
            <w:tcW w:w="34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120" w:type="dxa"/>
            <w:vAlign w:val="bottom"/>
            <w:gridSpan w:val="4"/>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649.8</w:t>
            </w:r>
          </w:p>
        </w:tc>
        <w:tc>
          <w:tcPr>
            <w:tcW w:w="34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2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654.0</w:t>
            </w:r>
          </w:p>
        </w:tc>
        <w:tc>
          <w:tcPr>
            <w:tcW w:w="60" w:type="dxa"/>
            <w:vAlign w:val="bottom"/>
            <w:shd w:val="clear" w:color="auto" w:fill="E1E1E1"/>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1E1E1E"/>
              </w:rPr>
              <w:t>Non-cash investing activities:</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820" w:type="dxa"/>
            <w:vAlign w:val="bottom"/>
            <w:shd w:val="clear" w:color="auto" w:fill="E1E1E1"/>
          </w:tcPr>
          <w:p>
            <w:pPr>
              <w:ind w:left="160"/>
              <w:spacing w:after="0"/>
              <w:rPr>
                <w:sz w:val="20"/>
                <w:szCs w:val="20"/>
                <w:color w:val="auto"/>
              </w:rPr>
            </w:pPr>
            <w:r>
              <w:rPr>
                <w:rFonts w:ascii="Times New Roman" w:cs="Times New Roman" w:eastAsia="Times New Roman" w:hAnsi="Times New Roman"/>
                <w:sz w:val="20"/>
                <w:szCs w:val="20"/>
                <w:color w:val="1E1E1E"/>
              </w:rPr>
              <w:t>Equity method investment from divestiture</w:t>
            </w:r>
          </w:p>
        </w:tc>
        <w:tc>
          <w:tcPr>
            <w:tcW w:w="880" w:type="dxa"/>
            <w:vAlign w:val="bottom"/>
            <w:shd w:val="clear" w:color="auto" w:fill="E1E1E1"/>
          </w:tcPr>
          <w:p>
            <w:pPr>
              <w:spacing w:after="0"/>
              <w:rPr>
                <w:sz w:val="21"/>
                <w:szCs w:val="21"/>
                <w:color w:val="auto"/>
              </w:rPr>
            </w:pPr>
          </w:p>
        </w:tc>
        <w:tc>
          <w:tcPr>
            <w:tcW w:w="5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760" w:type="dxa"/>
            <w:vAlign w:val="bottom"/>
            <w:shd w:val="clear" w:color="auto" w:fill="E1E1E1"/>
          </w:tcPr>
          <w:p>
            <w:pPr>
              <w:spacing w:after="0"/>
              <w:rPr>
                <w:sz w:val="21"/>
                <w:szCs w:val="21"/>
                <w:color w:val="auto"/>
              </w:rPr>
            </w:pPr>
          </w:p>
        </w:tc>
        <w:tc>
          <w:tcPr>
            <w:tcW w:w="360" w:type="dxa"/>
            <w:vAlign w:val="bottom"/>
            <w:gridSpan w:val="3"/>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1"/>
              </w:rPr>
              <w:t>17.0</w:t>
            </w:r>
          </w:p>
        </w:tc>
        <w:tc>
          <w:tcPr>
            <w:tcW w:w="34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280" w:type="dxa"/>
            <w:vAlign w:val="bottom"/>
            <w:gridSpan w:val="2"/>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r>
      <w:tr>
        <w:trPr>
          <w:trHeight w:val="767"/>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9.  FINANCING</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1"/>
        </w:trPr>
        <w:tc>
          <w:tcPr>
            <w:tcW w:w="5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Borders>
              <w:bottom w:val="single" w:sz="8" w:color="1E1E1E"/>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280" w:type="dxa"/>
            <w:vAlign w:val="bottom"/>
            <w:tcBorders>
              <w:bottom w:val="single" w:sz="8" w:color="1E1E1E"/>
            </w:tcBorders>
          </w:tcPr>
          <w:p>
            <w:pPr>
              <w:spacing w:after="0"/>
              <w:rPr>
                <w:sz w:val="24"/>
                <w:szCs w:val="24"/>
                <w:color w:val="auto"/>
              </w:rPr>
            </w:pPr>
          </w:p>
        </w:tc>
        <w:tc>
          <w:tcPr>
            <w:tcW w:w="1460" w:type="dxa"/>
            <w:vAlign w:val="bottom"/>
            <w:tcBorders>
              <w:bottom w:val="single" w:sz="8" w:color="1E1E1E"/>
            </w:tcBorders>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200" w:type="dxa"/>
            <w:vAlign w:val="bottom"/>
            <w:tcBorders>
              <w:bottom w:val="single" w:sz="8" w:color="1E1E1E"/>
            </w:tcBorders>
          </w:tcPr>
          <w:p>
            <w:pPr>
              <w:spacing w:after="0"/>
              <w:rPr>
                <w:sz w:val="24"/>
                <w:szCs w:val="24"/>
                <w:color w:val="auto"/>
              </w:rPr>
            </w:pPr>
          </w:p>
        </w:tc>
        <w:tc>
          <w:tcPr>
            <w:tcW w:w="1220" w:type="dxa"/>
            <w:vAlign w:val="bottom"/>
            <w:tcBorders>
              <w:bottom w:val="single" w:sz="8" w:color="1E1E1E"/>
            </w:tcBorders>
          </w:tcPr>
          <w:p>
            <w:pPr>
              <w:spacing w:after="0"/>
              <w:rPr>
                <w:sz w:val="24"/>
                <w:szCs w:val="24"/>
                <w:color w:val="auto"/>
              </w:rPr>
            </w:pPr>
          </w:p>
        </w:tc>
        <w:tc>
          <w:tcPr>
            <w:tcW w:w="60" w:type="dxa"/>
            <w:vAlign w:val="bottom"/>
            <w:tcBorders>
              <w:bottom w:val="single" w:sz="8" w:color="1E1E1E"/>
            </w:tcBorders>
          </w:tcPr>
          <w:p>
            <w:pPr>
              <w:spacing w:after="0"/>
              <w:rPr>
                <w:sz w:val="24"/>
                <w:szCs w:val="24"/>
                <w:color w:val="auto"/>
              </w:rPr>
            </w:pPr>
          </w:p>
        </w:tc>
      </w:tr>
      <w:tr>
        <w:trPr>
          <w:trHeight w:val="193"/>
        </w:trPr>
        <w:tc>
          <w:tcPr>
            <w:tcW w:w="5820" w:type="dxa"/>
            <w:vAlign w:val="bottom"/>
            <w:tcBorders>
              <w:bottom w:val="single" w:sz="8" w:color="E1E1E1"/>
            </w:tcBorders>
          </w:tcPr>
          <w:p>
            <w:pPr>
              <w:spacing w:after="0"/>
              <w:rPr>
                <w:sz w:val="16"/>
                <w:szCs w:val="16"/>
                <w:color w:val="auto"/>
              </w:rPr>
            </w:pPr>
          </w:p>
        </w:tc>
        <w:tc>
          <w:tcPr>
            <w:tcW w:w="880" w:type="dxa"/>
            <w:vAlign w:val="bottom"/>
            <w:tcBorders>
              <w:bottom w:val="single" w:sz="8" w:color="E1E1E1"/>
            </w:tcBorders>
          </w:tcPr>
          <w:p>
            <w:pPr>
              <w:spacing w:after="0"/>
              <w:rPr>
                <w:sz w:val="16"/>
                <w:szCs w:val="16"/>
                <w:color w:val="auto"/>
              </w:rPr>
            </w:pPr>
          </w:p>
        </w:tc>
        <w:tc>
          <w:tcPr>
            <w:tcW w:w="540" w:type="dxa"/>
            <w:vAlign w:val="bottom"/>
            <w:tcBorders>
              <w:bottom w:val="single" w:sz="8" w:color="1E1E1E"/>
            </w:tcBorders>
          </w:tcPr>
          <w:p>
            <w:pPr>
              <w:spacing w:after="0"/>
              <w:rPr>
                <w:sz w:val="16"/>
                <w:szCs w:val="16"/>
                <w:color w:val="auto"/>
              </w:rPr>
            </w:pPr>
          </w:p>
        </w:tc>
        <w:tc>
          <w:tcPr>
            <w:tcW w:w="62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760" w:type="dxa"/>
            <w:vAlign w:val="bottom"/>
            <w:tcBorders>
              <w:bottom w:val="single" w:sz="8" w:color="1E1E1E"/>
            </w:tcBorders>
          </w:tcPr>
          <w:p>
            <w:pPr>
              <w:spacing w:after="0"/>
              <w:rPr>
                <w:sz w:val="16"/>
                <w:szCs w:val="16"/>
                <w:color w:val="auto"/>
              </w:rPr>
            </w:pPr>
          </w:p>
        </w:tc>
        <w:tc>
          <w:tcPr>
            <w:tcW w:w="40" w:type="dxa"/>
            <w:vAlign w:val="bottom"/>
            <w:tcBorders>
              <w:bottom w:val="single" w:sz="8" w:color="1E1E1E"/>
            </w:tcBorders>
          </w:tcPr>
          <w:p>
            <w:pPr>
              <w:spacing w:after="0"/>
              <w:rPr>
                <w:sz w:val="16"/>
                <w:szCs w:val="16"/>
                <w:color w:val="auto"/>
              </w:rPr>
            </w:pPr>
          </w:p>
        </w:tc>
        <w:tc>
          <w:tcPr>
            <w:tcW w:w="220" w:type="dxa"/>
            <w:vAlign w:val="bottom"/>
            <w:tcBorders>
              <w:bottom w:val="single" w:sz="8" w:color="E1E1E1"/>
            </w:tcBorders>
          </w:tcPr>
          <w:p>
            <w:pPr>
              <w:spacing w:after="0"/>
              <w:rPr>
                <w:sz w:val="16"/>
                <w:szCs w:val="16"/>
                <w:color w:val="auto"/>
              </w:rPr>
            </w:pPr>
          </w:p>
        </w:tc>
        <w:tc>
          <w:tcPr>
            <w:tcW w:w="100" w:type="dxa"/>
            <w:vAlign w:val="bottom"/>
            <w:tcBorders>
              <w:bottom w:val="single" w:sz="8" w:color="1E1E1E"/>
            </w:tcBorders>
          </w:tcPr>
          <w:p>
            <w:pPr>
              <w:spacing w:after="0"/>
              <w:rPr>
                <w:sz w:val="16"/>
                <w:szCs w:val="16"/>
                <w:color w:val="auto"/>
              </w:rPr>
            </w:pPr>
          </w:p>
        </w:tc>
        <w:tc>
          <w:tcPr>
            <w:tcW w:w="340" w:type="dxa"/>
            <w:vAlign w:val="bottom"/>
            <w:tcBorders>
              <w:bottom w:val="single" w:sz="8" w:color="1E1E1E"/>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1220" w:type="dxa"/>
            <w:vAlign w:val="bottom"/>
            <w:tcBorders>
              <w:bottom w:val="single" w:sz="8" w:color="1E1E1E"/>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0" w:type="dxa"/>
            <w:vAlign w:val="bottom"/>
            <w:tcBorders>
              <w:bottom w:val="single" w:sz="8" w:color="1E1E1E"/>
            </w:tcBorders>
          </w:tcPr>
          <w:p>
            <w:pPr>
              <w:spacing w:after="0"/>
              <w:rPr>
                <w:sz w:val="16"/>
                <w:szCs w:val="16"/>
                <w:color w:val="auto"/>
              </w:rPr>
            </w:pPr>
          </w:p>
        </w:tc>
      </w:tr>
      <w:tr>
        <w:trPr>
          <w:trHeight w:val="239"/>
        </w:trPr>
        <w:tc>
          <w:tcPr>
            <w:tcW w:w="58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7.125% senior notes due July 2028</w:t>
            </w:r>
          </w:p>
        </w:tc>
        <w:tc>
          <w:tcPr>
            <w:tcW w:w="880" w:type="dxa"/>
            <w:vAlign w:val="bottom"/>
            <w:shd w:val="clear" w:color="auto" w:fill="E1E1E1"/>
          </w:tcPr>
          <w:p>
            <w:pPr>
              <w:spacing w:after="0"/>
              <w:rPr>
                <w:sz w:val="20"/>
                <w:szCs w:val="20"/>
                <w:color w:val="auto"/>
              </w:rPr>
            </w:pPr>
          </w:p>
        </w:tc>
        <w:tc>
          <w:tcPr>
            <w:tcW w:w="540" w:type="dxa"/>
            <w:vAlign w:val="bottom"/>
            <w:shd w:val="clear" w:color="auto" w:fill="E1E1E1"/>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34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7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641.6</w:t>
            </w:r>
          </w:p>
        </w:tc>
        <w:tc>
          <w:tcPr>
            <w:tcW w:w="40" w:type="dxa"/>
            <w:vAlign w:val="bottom"/>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34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2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641.6</w:t>
            </w:r>
          </w:p>
        </w:tc>
        <w:tc>
          <w:tcPr>
            <w:tcW w:w="60" w:type="dxa"/>
            <w:vAlign w:val="bottom"/>
            <w:shd w:val="clear" w:color="auto" w:fill="E1E1E1"/>
          </w:tcPr>
          <w:p>
            <w:pPr>
              <w:spacing w:after="0"/>
              <w:rPr>
                <w:sz w:val="20"/>
                <w:szCs w:val="20"/>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1E1E1E"/>
              </w:rPr>
              <w:t>5.00% senior notes due March 2027</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750.0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750.0</w:t>
            </w:r>
          </w:p>
        </w:tc>
        <w:tc>
          <w:tcPr>
            <w:tcW w:w="60" w:type="dxa"/>
            <w:vAlign w:val="bottom"/>
          </w:tcPr>
          <w:p>
            <w:pPr>
              <w:spacing w:after="0"/>
              <w:rPr>
                <w:sz w:val="21"/>
                <w:szCs w:val="21"/>
                <w:color w:val="auto"/>
              </w:rPr>
            </w:pPr>
          </w:p>
        </w:tc>
      </w:tr>
      <w:tr>
        <w:trPr>
          <w:trHeight w:val="244"/>
        </w:trPr>
        <w:tc>
          <w:tcPr>
            <w:tcW w:w="58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8.25% senior notes due March 2027</w:t>
            </w:r>
          </w:p>
        </w:tc>
        <w:tc>
          <w:tcPr>
            <w:tcW w:w="8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7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866.9</w:t>
            </w:r>
          </w:p>
        </w:tc>
        <w:tc>
          <w:tcPr>
            <w:tcW w:w="4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2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866.9</w:t>
            </w:r>
          </w:p>
        </w:tc>
        <w:tc>
          <w:tcPr>
            <w:tcW w:w="60" w:type="dxa"/>
            <w:vAlign w:val="bottom"/>
            <w:shd w:val="clear" w:color="auto" w:fill="E1E1E1"/>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1E1E1E"/>
              </w:rPr>
              <w:t>9.50% senior secured notes due December 2031</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60" w:type="dxa"/>
            <w:vAlign w:val="bottom"/>
          </w:tcPr>
          <w:p>
            <w:pPr>
              <w:spacing w:after="0"/>
              <w:rPr>
                <w:sz w:val="21"/>
                <w:szCs w:val="21"/>
                <w:color w:val="auto"/>
              </w:rPr>
            </w:pPr>
          </w:p>
        </w:tc>
      </w:tr>
      <w:tr>
        <w:trPr>
          <w:trHeight w:val="244"/>
        </w:trPr>
        <w:tc>
          <w:tcPr>
            <w:tcW w:w="58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4.75% senior secured notes due September 2029</w:t>
            </w:r>
          </w:p>
        </w:tc>
        <w:tc>
          <w:tcPr>
            <w:tcW w:w="8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7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951.0</w:t>
            </w:r>
          </w:p>
        </w:tc>
        <w:tc>
          <w:tcPr>
            <w:tcW w:w="4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2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1,250.0</w:t>
            </w:r>
          </w:p>
        </w:tc>
        <w:tc>
          <w:tcPr>
            <w:tcW w:w="60" w:type="dxa"/>
            <w:vAlign w:val="bottom"/>
            <w:shd w:val="clear" w:color="auto" w:fill="E1E1E1"/>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1E1E1E"/>
              </w:rPr>
              <w:t>6.00% senior secured notes due March 2026</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1,500.0</w:t>
            </w:r>
          </w:p>
        </w:tc>
        <w:tc>
          <w:tcPr>
            <w:tcW w:w="60" w:type="dxa"/>
            <w:vAlign w:val="bottom"/>
          </w:tcPr>
          <w:p>
            <w:pPr>
              <w:spacing w:after="0"/>
              <w:rPr>
                <w:sz w:val="21"/>
                <w:szCs w:val="21"/>
                <w:color w:val="auto"/>
              </w:rPr>
            </w:pPr>
          </w:p>
        </w:tc>
      </w:tr>
      <w:tr>
        <w:trPr>
          <w:trHeight w:val="244"/>
        </w:trPr>
        <w:tc>
          <w:tcPr>
            <w:tcW w:w="58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Senior secured term loan due December 2029</w:t>
            </w:r>
          </w:p>
        </w:tc>
        <w:tc>
          <w:tcPr>
            <w:tcW w:w="8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7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3,150.0</w:t>
            </w:r>
          </w:p>
        </w:tc>
        <w:tc>
          <w:tcPr>
            <w:tcW w:w="4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2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3,150.0</w:t>
            </w:r>
          </w:p>
        </w:tc>
        <w:tc>
          <w:tcPr>
            <w:tcW w:w="60" w:type="dxa"/>
            <w:vAlign w:val="bottom"/>
            <w:shd w:val="clear" w:color="auto" w:fill="E1E1E1"/>
          </w:tcPr>
          <w:p>
            <w:pPr>
              <w:spacing w:after="0"/>
              <w:rPr>
                <w:sz w:val="21"/>
                <w:szCs w:val="21"/>
                <w:color w:val="auto"/>
              </w:rPr>
            </w:pPr>
          </w:p>
        </w:tc>
      </w:tr>
      <w:tr>
        <w:trPr>
          <w:trHeight w:val="244"/>
        </w:trPr>
        <w:tc>
          <w:tcPr>
            <w:tcW w:w="582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Senior secured revolving credit facility</w:t>
            </w:r>
          </w:p>
        </w:tc>
        <w:tc>
          <w:tcPr>
            <w:tcW w:w="880" w:type="dxa"/>
            <w:vAlign w:val="bottom"/>
            <w:tcBorders>
              <w:bottom w:val="single" w:sz="8" w:color="E1E1E1"/>
            </w:tcBorders>
          </w:tcPr>
          <w:p>
            <w:pPr>
              <w:spacing w:after="0"/>
              <w:rPr>
                <w:sz w:val="21"/>
                <w:szCs w:val="21"/>
                <w:color w:val="auto"/>
              </w:rPr>
            </w:pPr>
          </w:p>
        </w:tc>
        <w:tc>
          <w:tcPr>
            <w:tcW w:w="540" w:type="dxa"/>
            <w:vAlign w:val="bottom"/>
            <w:tcBorders>
              <w:bottom w:val="single" w:sz="8" w:color="1E1E1E"/>
            </w:tcBorders>
          </w:tcPr>
          <w:p>
            <w:pPr>
              <w:spacing w:after="0"/>
              <w:rPr>
                <w:sz w:val="21"/>
                <w:szCs w:val="21"/>
                <w:color w:val="auto"/>
              </w:rPr>
            </w:pPr>
          </w:p>
        </w:tc>
        <w:tc>
          <w:tcPr>
            <w:tcW w:w="340" w:type="dxa"/>
            <w:vAlign w:val="bottom"/>
            <w:tcBorders>
              <w:bottom w:val="single" w:sz="8" w:color="1E1E1E"/>
            </w:tcBorders>
          </w:tcPr>
          <w:p>
            <w:pPr>
              <w:spacing w:after="0"/>
              <w:rPr>
                <w:sz w:val="21"/>
                <w:szCs w:val="21"/>
                <w:color w:val="auto"/>
              </w:rPr>
            </w:pPr>
          </w:p>
        </w:tc>
        <w:tc>
          <w:tcPr>
            <w:tcW w:w="28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1E1E1E"/>
            </w:tcBorders>
          </w:tcPr>
          <w:p>
            <w:pPr>
              <w:spacing w:after="0"/>
              <w:rPr>
                <w:sz w:val="21"/>
                <w:szCs w:val="21"/>
                <w:color w:val="auto"/>
              </w:rPr>
            </w:pPr>
          </w:p>
        </w:tc>
        <w:tc>
          <w:tcPr>
            <w:tcW w:w="220" w:type="dxa"/>
            <w:vAlign w:val="bottom"/>
            <w:tcBorders>
              <w:bottom w:val="single" w:sz="8" w:color="E1E1E1"/>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340" w:type="dxa"/>
            <w:vAlign w:val="bottom"/>
            <w:tcBorders>
              <w:bottom w:val="single" w:sz="8" w:color="1E1E1E"/>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200.0</w:t>
            </w:r>
          </w:p>
        </w:tc>
        <w:tc>
          <w:tcPr>
            <w:tcW w:w="60" w:type="dxa"/>
            <w:vAlign w:val="bottom"/>
            <w:tcBorders>
              <w:bottom w:val="single" w:sz="8" w:color="1E1E1E"/>
            </w:tcBorders>
          </w:tcPr>
          <w:p>
            <w:pPr>
              <w:spacing w:after="0"/>
              <w:rPr>
                <w:sz w:val="21"/>
                <w:szCs w:val="21"/>
                <w:color w:val="auto"/>
              </w:rPr>
            </w:pPr>
          </w:p>
        </w:tc>
      </w:tr>
      <w:tr>
        <w:trPr>
          <w:trHeight w:val="239"/>
        </w:trPr>
        <w:tc>
          <w:tcPr>
            <w:tcW w:w="58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principal amount of debt</w:t>
            </w:r>
          </w:p>
        </w:tc>
        <w:tc>
          <w:tcPr>
            <w:tcW w:w="8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34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7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7,359.5</w:t>
            </w:r>
          </w:p>
        </w:tc>
        <w:tc>
          <w:tcPr>
            <w:tcW w:w="40" w:type="dxa"/>
            <w:vAlign w:val="bottom"/>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34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2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9,358.5</w:t>
            </w:r>
          </w:p>
        </w:tc>
        <w:tc>
          <w:tcPr>
            <w:tcW w:w="60" w:type="dxa"/>
            <w:vAlign w:val="bottom"/>
            <w:shd w:val="clear" w:color="auto" w:fill="E1E1E1"/>
          </w:tcPr>
          <w:p>
            <w:pPr>
              <w:spacing w:after="0"/>
              <w:rPr>
                <w:sz w:val="20"/>
                <w:szCs w:val="20"/>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1E1E1E"/>
              </w:rPr>
              <w:t>Less: Original issue discount, net of amortization</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(60.5)</w:t>
            </w:r>
          </w:p>
        </w:tc>
      </w:tr>
      <w:tr>
        <w:trPr>
          <w:trHeight w:val="244"/>
        </w:trPr>
        <w:tc>
          <w:tcPr>
            <w:tcW w:w="58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Less: Debt issuance costs, net of amortization</w:t>
            </w:r>
          </w:p>
        </w:tc>
        <w:tc>
          <w:tcPr>
            <w:tcW w:w="8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7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(47.4)</w:t>
            </w:r>
          </w:p>
        </w:tc>
        <w:tc>
          <w:tcPr>
            <w:tcW w:w="4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34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2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(59.6)</w:t>
            </w:r>
          </w:p>
        </w:tc>
      </w:tr>
      <w:tr>
        <w:trPr>
          <w:trHeight w:val="244"/>
        </w:trPr>
        <w:tc>
          <w:tcPr>
            <w:tcW w:w="582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Less: Current portion</w:t>
            </w:r>
          </w:p>
        </w:tc>
        <w:tc>
          <w:tcPr>
            <w:tcW w:w="880" w:type="dxa"/>
            <w:vAlign w:val="bottom"/>
            <w:tcBorders>
              <w:bottom w:val="single" w:sz="8" w:color="E1E1E1"/>
            </w:tcBorders>
          </w:tcPr>
          <w:p>
            <w:pPr>
              <w:spacing w:after="0"/>
              <w:rPr>
                <w:sz w:val="21"/>
                <w:szCs w:val="21"/>
                <w:color w:val="auto"/>
              </w:rPr>
            </w:pPr>
          </w:p>
        </w:tc>
        <w:tc>
          <w:tcPr>
            <w:tcW w:w="540" w:type="dxa"/>
            <w:vAlign w:val="bottom"/>
            <w:tcBorders>
              <w:bottom w:val="single" w:sz="8" w:color="1E1E1E"/>
            </w:tcBorders>
          </w:tcPr>
          <w:p>
            <w:pPr>
              <w:spacing w:after="0"/>
              <w:rPr>
                <w:sz w:val="21"/>
                <w:szCs w:val="21"/>
                <w:color w:val="auto"/>
              </w:rPr>
            </w:pPr>
          </w:p>
        </w:tc>
        <w:tc>
          <w:tcPr>
            <w:tcW w:w="340" w:type="dxa"/>
            <w:vAlign w:val="bottom"/>
            <w:tcBorders>
              <w:bottom w:val="single" w:sz="8" w:color="1E1E1E"/>
            </w:tcBorders>
          </w:tcPr>
          <w:p>
            <w:pPr>
              <w:spacing w:after="0"/>
              <w:rPr>
                <w:sz w:val="21"/>
                <w:szCs w:val="21"/>
                <w:color w:val="auto"/>
              </w:rPr>
            </w:pPr>
          </w:p>
        </w:tc>
        <w:tc>
          <w:tcPr>
            <w:tcW w:w="28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1E1E1E"/>
            </w:tcBorders>
          </w:tcPr>
          <w:p>
            <w:pPr>
              <w:spacing w:after="0"/>
              <w:rPr>
                <w:sz w:val="21"/>
                <w:szCs w:val="21"/>
                <w:color w:val="auto"/>
              </w:rPr>
            </w:pPr>
          </w:p>
        </w:tc>
        <w:tc>
          <w:tcPr>
            <w:tcW w:w="220" w:type="dxa"/>
            <w:vAlign w:val="bottom"/>
            <w:tcBorders>
              <w:bottom w:val="single" w:sz="8" w:color="E1E1E1"/>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340" w:type="dxa"/>
            <w:vAlign w:val="bottom"/>
            <w:tcBorders>
              <w:bottom w:val="single" w:sz="8" w:color="1E1E1E"/>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280" w:type="dxa"/>
            <w:vAlign w:val="bottom"/>
            <w:tcBorders>
              <w:bottom w:val="single" w:sz="8" w:color="1E1E1E"/>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9"/>
        </w:trPr>
        <w:tc>
          <w:tcPr>
            <w:tcW w:w="58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long-term debt</w:t>
            </w:r>
          </w:p>
        </w:tc>
        <w:tc>
          <w:tcPr>
            <w:tcW w:w="880" w:type="dxa"/>
            <w:vAlign w:val="bottom"/>
            <w:shd w:val="clear" w:color="auto" w:fill="E1E1E1"/>
          </w:tcPr>
          <w:p>
            <w:pPr>
              <w:spacing w:after="0"/>
              <w:rPr>
                <w:sz w:val="20"/>
                <w:szCs w:val="20"/>
                <w:color w:val="auto"/>
              </w:rPr>
            </w:pPr>
          </w:p>
        </w:tc>
        <w:tc>
          <w:tcPr>
            <w:tcW w:w="540" w:type="dxa"/>
            <w:vAlign w:val="bottom"/>
            <w:tcBorders>
              <w:bottom w:val="single" w:sz="8" w:color="1E1E1E"/>
            </w:tcBorders>
            <w:shd w:val="clear" w:color="auto" w:fill="E1E1E1"/>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340" w:type="dxa"/>
            <w:vAlign w:val="bottom"/>
            <w:tcBorders>
              <w:bottom w:val="single" w:sz="8" w:color="1E1E1E"/>
            </w:tcBorders>
            <w:shd w:val="clear" w:color="auto" w:fill="E1E1E1"/>
          </w:tcPr>
          <w:p>
            <w:pPr>
              <w:spacing w:after="0"/>
              <w:rPr>
                <w:sz w:val="20"/>
                <w:szCs w:val="20"/>
                <w:color w:val="auto"/>
              </w:rPr>
            </w:pPr>
          </w:p>
        </w:tc>
        <w:tc>
          <w:tcPr>
            <w:tcW w:w="280" w:type="dxa"/>
            <w:vAlign w:val="bottom"/>
            <w:tcBorders>
              <w:bottom w:val="single" w:sz="8" w:color="1E1E1E"/>
            </w:tcBorders>
            <w:shd w:val="clear" w:color="auto" w:fill="E1E1E1"/>
          </w:tcPr>
          <w:p>
            <w:pPr>
              <w:spacing w:after="0"/>
              <w:rPr>
                <w:sz w:val="20"/>
                <w:szCs w:val="20"/>
                <w:color w:val="auto"/>
              </w:rPr>
            </w:pPr>
          </w:p>
        </w:tc>
        <w:tc>
          <w:tcPr>
            <w:tcW w:w="7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7,260.2</w:t>
            </w:r>
          </w:p>
        </w:tc>
        <w:tc>
          <w:tcPr>
            <w:tcW w:w="40" w:type="dxa"/>
            <w:vAlign w:val="bottom"/>
            <w:tcBorders>
              <w:bottom w:val="single" w:sz="8" w:color="1E1E1E"/>
            </w:tcBorders>
            <w:shd w:val="clear" w:color="auto" w:fill="E1E1E1"/>
          </w:tcPr>
          <w:p>
            <w:pPr>
              <w:spacing w:after="0"/>
              <w:rPr>
                <w:sz w:val="20"/>
                <w:szCs w:val="20"/>
                <w:color w:val="auto"/>
              </w:rPr>
            </w:pPr>
          </w:p>
        </w:tc>
        <w:tc>
          <w:tcPr>
            <w:tcW w:w="220" w:type="dxa"/>
            <w:vAlign w:val="bottom"/>
            <w:shd w:val="clear" w:color="auto" w:fill="E1E1E1"/>
          </w:tcPr>
          <w:p>
            <w:pPr>
              <w:spacing w:after="0"/>
              <w:rPr>
                <w:sz w:val="20"/>
                <w:szCs w:val="20"/>
                <w:color w:val="auto"/>
              </w:rPr>
            </w:pPr>
          </w:p>
        </w:tc>
        <w:tc>
          <w:tcPr>
            <w:tcW w:w="1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340" w:type="dxa"/>
            <w:vAlign w:val="bottom"/>
            <w:tcBorders>
              <w:bottom w:val="single" w:sz="8" w:color="1E1E1E"/>
            </w:tcBorders>
            <w:shd w:val="clear" w:color="auto" w:fill="E1E1E1"/>
          </w:tcPr>
          <w:p>
            <w:pPr>
              <w:spacing w:after="0"/>
              <w:rPr>
                <w:sz w:val="20"/>
                <w:szCs w:val="20"/>
                <w:color w:val="auto"/>
              </w:rPr>
            </w:pPr>
          </w:p>
        </w:tc>
        <w:tc>
          <w:tcPr>
            <w:tcW w:w="200" w:type="dxa"/>
            <w:vAlign w:val="bottom"/>
            <w:tcBorders>
              <w:bottom w:val="single" w:sz="8" w:color="1E1E1E"/>
            </w:tcBorders>
            <w:shd w:val="clear" w:color="auto" w:fill="E1E1E1"/>
          </w:tcPr>
          <w:p>
            <w:pPr>
              <w:spacing w:after="0"/>
              <w:rPr>
                <w:sz w:val="20"/>
                <w:szCs w:val="20"/>
                <w:color w:val="auto"/>
              </w:rPr>
            </w:pPr>
          </w:p>
        </w:tc>
        <w:tc>
          <w:tcPr>
            <w:tcW w:w="12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9,238.4</w:t>
            </w:r>
          </w:p>
        </w:tc>
        <w:tc>
          <w:tcPr>
            <w:tcW w:w="60" w:type="dxa"/>
            <w:vAlign w:val="bottom"/>
            <w:tcBorders>
              <w:bottom w:val="single" w:sz="8" w:color="1E1E1E"/>
            </w:tcBorders>
            <w:shd w:val="clear" w:color="auto" w:fill="E1E1E1"/>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760" w:type="dxa"/>
            <w:vAlign w:val="bottom"/>
            <w:tcBorders>
              <w:bottom w:val="single" w:sz="8" w:color="1E1E1E"/>
            </w:tcBorders>
          </w:tcPr>
          <w:p>
            <w:pPr>
              <w:spacing w:after="0" w:line="20" w:lineRule="exact"/>
              <w:rPr>
                <w:sz w:val="1"/>
                <w:szCs w:val="1"/>
                <w:color w:val="auto"/>
              </w:rPr>
            </w:pPr>
          </w:p>
        </w:tc>
        <w:tc>
          <w:tcPr>
            <w:tcW w:w="4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6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In January 2025, the Company used the proceeds from the sale of the OWN segment and DAS business unit to pay fees and expenses associated with the transaction and to repay the outstanding amount of $250.0 million under the Company’s asset-based revolving credit facility (the Revolving Credit Facility). In connection with the repayment of all outstanding amounts under the Revolving Credit Facility, the committed amount thereunder was reduced to $750.0 million, subject to borrowing base limitations. In addition, in February 2025, the Company repurchased $299.0 million in aggregate principal amount of the 4.75% senior secured notes due September 1, 2029 (the 2029 Secured Notes) and repurchased in full the $1,500.0 million outstanding amount of the 6.00% senior secured notes due March 1, 2026 (the 2026 Secured Notes) with the proceeds from the sale. Following the repurchases, $951.0 million in aggregate principal amount of the 2029 Secured Notes remained outstanding, and the indenture governing the 2026 Secured Notes was satisfied and discharged. Following the consummation of the repurchases in February 2025, the conditions precedent were met for a 25 basis point reduction in the applicable margin on the senior secured term loan due December 2029 (the 2029 Term Loan).</w:t>
      </w:r>
    </w:p>
    <w:p>
      <w:pPr>
        <w:spacing w:after="0" w:line="202"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20"/>
          <w:szCs w:val="20"/>
          <w:color w:val="1E1E1E"/>
        </w:rPr>
        <w:t>In connection with the sale of the CCS segment that was completed subsequent to fiscal year end on January 9, 2026, the Company repaid in full all outstanding indebtedness. For further discussion of the sale of the CCS segment, see Note 19 in these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Other Matters</w:t>
      </w:r>
    </w:p>
    <w:p>
      <w:pPr>
        <w:spacing w:after="0" w:line="12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1E1E1E"/>
        </w:rPr>
        <w:t>The Company is dependent upon the earnings and cash flow of its subsidiaries to make certain payments, including debt and interest payments. Certain subsidiaries may have limitations or restrictions on transferring funds to other subsidiaries that may be necessary to meet those requirements.</w:t>
      </w:r>
    </w:p>
    <w:p>
      <w:pPr>
        <w:spacing w:after="0" w:line="18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1E1E1E"/>
        </w:rPr>
        <w:t>The weighted average effective interest rate on outstanding borrowings, including the impact of the interest rate swap contracts and the amortization of debt issuance costs and original issue discount, was 8.13% and 8.09% at December 31, 2025 and 2024, respectively.</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85</w:t>
      </w:r>
    </w:p>
    <w:p>
      <w:pPr>
        <w:sectPr>
          <w:pgSz w:w="11880" w:h="15480" w:orient="portrait"/>
          <w:cols w:equalWidth="0" w:num="1">
            <w:col w:w="10800"/>
          </w:cols>
          <w:pgMar w:left="540" w:top="515" w:right="54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ind w:left="460" w:hanging="460"/>
        <w:spacing w:after="0"/>
        <w:tabs>
          <w:tab w:leader="none" w:pos="460" w:val="left"/>
        </w:tabs>
        <w:numPr>
          <w:ilvl w:val="0"/>
          <w:numId w:val="5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FAIR VALUE MEASUREMENTS</w:t>
      </w:r>
    </w:p>
    <w:p>
      <w:pPr>
        <w:spacing w:after="0" w:line="123"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1E1E1E"/>
        </w:rPr>
        <w:t>The Company’s financial instruments consist primarily of cash and cash equivalents, trade receivables, trade payables, debt instruments, interest rate swap contracts and foreign currency contracts. For cash and cash equivalents, trade receivables and trade payables, the carrying amounts of these financial instruments as of December 31, 2025 and 2024 were considered representative of their fair values due to their short terms to maturity. The fair values of the Company’s debt instruments, interest rate swap contracts and foreign currency contracts were based on indicative quotes.</w:t>
      </w:r>
    </w:p>
    <w:p>
      <w:pPr>
        <w:spacing w:after="0" w:line="197"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color w:val="1E1E1E"/>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spacing w:after="0" w:line="18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1E1E1E"/>
        </w:rPr>
        <w:t>The carrying amounts, estimated fair values and valuation input levels of the Company’s debt instruments, interest rate derivatives and foreign currency contracts as of December 31, 2025 and 2024,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2160" w:type="dxa"/>
            <w:vAlign w:val="bottom"/>
            <w:tcBorders>
              <w:bottom w:val="single" w:sz="8" w:color="1E1E1E"/>
            </w:tcBorders>
            <w:gridSpan w:val="4"/>
          </w:tcPr>
          <w:p>
            <w:pPr>
              <w:jc w:val="right"/>
              <w:ind w:right="422"/>
              <w:spacing w:after="0"/>
              <w:rPr>
                <w:sz w:val="20"/>
                <w:szCs w:val="20"/>
                <w:color w:val="auto"/>
              </w:rPr>
            </w:pPr>
            <w:r>
              <w:rPr>
                <w:rFonts w:ascii="Times New Roman" w:cs="Times New Roman" w:eastAsia="Times New Roman" w:hAnsi="Times New Roman"/>
                <w:sz w:val="16"/>
                <w:szCs w:val="16"/>
                <w:b w:val="1"/>
                <w:bCs w:val="1"/>
                <w:color w:val="1E1E1E"/>
              </w:rPr>
              <w:t>December 31, 2025</w:t>
            </w:r>
          </w:p>
        </w:tc>
        <w:tc>
          <w:tcPr>
            <w:tcW w:w="26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2160" w:type="dxa"/>
            <w:vAlign w:val="bottom"/>
            <w:tcBorders>
              <w:bottom w:val="single" w:sz="8" w:color="1E1E1E"/>
            </w:tcBorders>
            <w:gridSpan w:val="4"/>
          </w:tcPr>
          <w:p>
            <w:pPr>
              <w:jc w:val="right"/>
              <w:ind w:right="402"/>
              <w:spacing w:after="0"/>
              <w:rPr>
                <w:sz w:val="20"/>
                <w:szCs w:val="20"/>
                <w:color w:val="auto"/>
              </w:rPr>
            </w:pPr>
            <w:r>
              <w:rPr>
                <w:rFonts w:ascii="Times New Roman" w:cs="Times New Roman" w:eastAsia="Times New Roman" w:hAnsi="Times New Roman"/>
                <w:sz w:val="16"/>
                <w:szCs w:val="16"/>
                <w:b w:val="1"/>
                <w:bCs w:val="1"/>
                <w:color w:val="1E1E1E"/>
              </w:rPr>
              <w:t>December 31, 2024</w:t>
            </w:r>
          </w:p>
        </w:tc>
        <w:tc>
          <w:tcPr>
            <w:tcW w:w="28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Valuation</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04"/>
              <w:spacing w:after="0" w:line="174" w:lineRule="exact"/>
              <w:rPr>
                <w:sz w:val="20"/>
                <w:szCs w:val="20"/>
                <w:color w:val="auto"/>
              </w:rPr>
            </w:pPr>
            <w:r>
              <w:rPr>
                <w:rFonts w:ascii="Times New Roman" w:cs="Times New Roman" w:eastAsia="Times New Roman" w:hAnsi="Times New Roman"/>
                <w:sz w:val="16"/>
                <w:szCs w:val="16"/>
                <w:b w:val="1"/>
                <w:bCs w:val="1"/>
                <w:color w:val="1E1E1E"/>
              </w:rPr>
              <w:t>Carrying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04"/>
              <w:spacing w:after="0" w:line="174" w:lineRule="exact"/>
              <w:rPr>
                <w:sz w:val="20"/>
                <w:szCs w:val="20"/>
                <w:color w:val="auto"/>
              </w:rPr>
            </w:pPr>
            <w:r>
              <w:rPr>
                <w:rFonts w:ascii="Times New Roman" w:cs="Times New Roman" w:eastAsia="Times New Roman" w:hAnsi="Times New Roman"/>
                <w:sz w:val="16"/>
                <w:szCs w:val="16"/>
                <w:b w:val="1"/>
                <w:bCs w:val="1"/>
                <w:color w:val="1E1E1E"/>
              </w:rPr>
              <w:t>Carrying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20" w:type="dxa"/>
            <w:vAlign w:val="bottom"/>
            <w:tcBorders>
              <w:bottom w:val="single" w:sz="8" w:color="E1E1E1"/>
            </w:tcBorders>
          </w:tcPr>
          <w:p>
            <w:pPr>
              <w:spacing w:after="0"/>
              <w:rPr>
                <w:sz w:val="17"/>
                <w:szCs w:val="17"/>
                <w:color w:val="auto"/>
              </w:rPr>
            </w:pPr>
          </w:p>
        </w:tc>
        <w:tc>
          <w:tcPr>
            <w:tcW w:w="700" w:type="dxa"/>
            <w:vAlign w:val="bottom"/>
            <w:tcBorders>
              <w:bottom w:val="single" w:sz="8" w:color="E1E1E1"/>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880" w:type="dxa"/>
            <w:vAlign w:val="bottom"/>
            <w:tcBorders>
              <w:bottom w:val="single" w:sz="8" w:color="1E1E1E"/>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60" w:type="dxa"/>
            <w:vAlign w:val="bottom"/>
            <w:tcBorders>
              <w:bottom w:val="single" w:sz="8" w:color="E1E1E1"/>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1E1E1E"/>
                <w:w w:val="98"/>
              </w:rPr>
              <w:t>Fair Value</w:t>
            </w:r>
          </w:p>
        </w:tc>
        <w:tc>
          <w:tcPr>
            <w:tcW w:w="260" w:type="dxa"/>
            <w:vAlign w:val="bottom"/>
            <w:tcBorders>
              <w:bottom w:val="single" w:sz="8" w:color="E1E1E1"/>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880" w:type="dxa"/>
            <w:vAlign w:val="bottom"/>
            <w:tcBorders>
              <w:bottom w:val="single" w:sz="8" w:color="1E1E1E"/>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60" w:type="dxa"/>
            <w:vAlign w:val="bottom"/>
            <w:tcBorders>
              <w:bottom w:val="single" w:sz="8" w:color="E1E1E1"/>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1E1E1E"/>
              </w:rPr>
              <w:t>Fair Value</w:t>
            </w:r>
          </w:p>
        </w:tc>
        <w:tc>
          <w:tcPr>
            <w:tcW w:w="280" w:type="dxa"/>
            <w:vAlign w:val="bottom"/>
            <w:tcBorders>
              <w:bottom w:val="single" w:sz="8" w:color="E1E1E1"/>
            </w:tcBorders>
          </w:tcPr>
          <w:p>
            <w:pPr>
              <w:spacing w:after="0"/>
              <w:rPr>
                <w:sz w:val="17"/>
                <w:szCs w:val="17"/>
                <w:color w:val="auto"/>
              </w:rPr>
            </w:pPr>
          </w:p>
        </w:tc>
        <w:tc>
          <w:tcPr>
            <w:tcW w:w="104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Inputs</w:t>
            </w:r>
          </w:p>
        </w:tc>
        <w:tc>
          <w:tcPr>
            <w:tcW w:w="0" w:type="dxa"/>
            <w:vAlign w:val="bottom"/>
          </w:tcPr>
          <w:p>
            <w:pPr>
              <w:spacing w:after="0"/>
              <w:rPr>
                <w:sz w:val="1"/>
                <w:szCs w:val="1"/>
                <w:color w:val="auto"/>
              </w:rPr>
            </w:pPr>
          </w:p>
        </w:tc>
      </w:tr>
      <w:tr>
        <w:trPr>
          <w:trHeight w:val="239"/>
        </w:trPr>
        <w:tc>
          <w:tcPr>
            <w:tcW w:w="39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Assets:</w:t>
            </w:r>
          </w:p>
        </w:tc>
        <w:tc>
          <w:tcPr>
            <w:tcW w:w="700" w:type="dxa"/>
            <w:vAlign w:val="bottom"/>
            <w:shd w:val="clear" w:color="auto" w:fill="E1E1E1"/>
          </w:tcPr>
          <w:p>
            <w:pPr>
              <w:spacing w:after="0"/>
              <w:rPr>
                <w:sz w:val="20"/>
                <w:szCs w:val="20"/>
                <w:color w:val="auto"/>
              </w:rPr>
            </w:pPr>
          </w:p>
        </w:tc>
        <w:tc>
          <w:tcPr>
            <w:tcW w:w="140" w:type="dxa"/>
            <w:vAlign w:val="bottom"/>
            <w:shd w:val="clear" w:color="auto" w:fill="E1E1E1"/>
          </w:tcPr>
          <w:p>
            <w:pPr>
              <w:spacing w:after="0"/>
              <w:rPr>
                <w:sz w:val="20"/>
                <w:szCs w:val="20"/>
                <w:color w:val="auto"/>
              </w:rPr>
            </w:pPr>
          </w:p>
        </w:tc>
        <w:tc>
          <w:tcPr>
            <w:tcW w:w="88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90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140" w:type="dxa"/>
            <w:vAlign w:val="bottom"/>
            <w:shd w:val="clear" w:color="auto" w:fill="E1E1E1"/>
          </w:tcPr>
          <w:p>
            <w:pPr>
              <w:spacing w:after="0"/>
              <w:rPr>
                <w:sz w:val="20"/>
                <w:szCs w:val="20"/>
                <w:color w:val="auto"/>
              </w:rPr>
            </w:pPr>
          </w:p>
        </w:tc>
        <w:tc>
          <w:tcPr>
            <w:tcW w:w="88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90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104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Foreign currency contracts</w:t>
            </w:r>
          </w:p>
        </w:tc>
        <w:tc>
          <w:tcPr>
            <w:tcW w:w="7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Liabilities:</w:t>
            </w:r>
          </w:p>
        </w:tc>
        <w:tc>
          <w:tcPr>
            <w:tcW w:w="70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7.125% senior notes due 2028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641.6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644.0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641.6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561.4</w:t>
            </w:r>
          </w:p>
        </w:tc>
        <w:tc>
          <w:tcPr>
            <w:tcW w:w="2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5.00% senior notes due 2027</w:t>
            </w:r>
          </w:p>
        </w:tc>
        <w:tc>
          <w:tcPr>
            <w:tcW w:w="70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750.0</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747.7</w:t>
            </w:r>
          </w:p>
        </w:tc>
        <w:tc>
          <w:tcPr>
            <w:tcW w:w="26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750.0</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669.5</w:t>
            </w:r>
          </w:p>
        </w:tc>
        <w:tc>
          <w:tcPr>
            <w:tcW w:w="280" w:type="dxa"/>
            <w:vAlign w:val="bottom"/>
            <w:shd w:val="clear" w:color="auto" w:fill="E1E1E1"/>
          </w:tcPr>
          <w:p>
            <w:pPr>
              <w:spacing w:after="0"/>
              <w:rPr>
                <w:sz w:val="21"/>
                <w:szCs w:val="21"/>
                <w:color w:val="auto"/>
              </w:rPr>
            </w:pPr>
          </w:p>
        </w:tc>
        <w:tc>
          <w:tcPr>
            <w:tcW w:w="1040" w:type="dxa"/>
            <w:vAlign w:val="bottom"/>
            <w:shd w:val="clear" w:color="auto" w:fill="E1E1E1"/>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8.25% senior notes due 2027</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866.9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868.2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866.9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826.8</w:t>
            </w:r>
          </w:p>
        </w:tc>
        <w:tc>
          <w:tcPr>
            <w:tcW w:w="2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9.50% senior secured notes due 2031</w:t>
            </w:r>
          </w:p>
        </w:tc>
        <w:tc>
          <w:tcPr>
            <w:tcW w:w="70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1,010.0</w:t>
            </w:r>
          </w:p>
        </w:tc>
        <w:tc>
          <w:tcPr>
            <w:tcW w:w="26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1,035.0</w:t>
            </w:r>
          </w:p>
        </w:tc>
        <w:tc>
          <w:tcPr>
            <w:tcW w:w="280" w:type="dxa"/>
            <w:vAlign w:val="bottom"/>
            <w:shd w:val="clear" w:color="auto" w:fill="E1E1E1"/>
          </w:tcPr>
          <w:p>
            <w:pPr>
              <w:spacing w:after="0"/>
              <w:rPr>
                <w:sz w:val="21"/>
                <w:szCs w:val="21"/>
                <w:color w:val="auto"/>
              </w:rPr>
            </w:pPr>
          </w:p>
        </w:tc>
        <w:tc>
          <w:tcPr>
            <w:tcW w:w="1040" w:type="dxa"/>
            <w:vAlign w:val="bottom"/>
            <w:shd w:val="clear" w:color="auto" w:fill="E1E1E1"/>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4.75% senior secured notes due 2029</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951.0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949.2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1,117.2</w:t>
            </w:r>
          </w:p>
        </w:tc>
        <w:tc>
          <w:tcPr>
            <w:tcW w:w="2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6.00% senior secured notes due 2026</w:t>
            </w:r>
          </w:p>
        </w:tc>
        <w:tc>
          <w:tcPr>
            <w:tcW w:w="70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1,500.0</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1,486.9</w:t>
            </w:r>
          </w:p>
        </w:tc>
        <w:tc>
          <w:tcPr>
            <w:tcW w:w="280" w:type="dxa"/>
            <w:vAlign w:val="bottom"/>
            <w:shd w:val="clear" w:color="auto" w:fill="E1E1E1"/>
          </w:tcPr>
          <w:p>
            <w:pPr>
              <w:spacing w:after="0"/>
              <w:rPr>
                <w:sz w:val="21"/>
                <w:szCs w:val="21"/>
                <w:color w:val="auto"/>
              </w:rPr>
            </w:pPr>
          </w:p>
        </w:tc>
        <w:tc>
          <w:tcPr>
            <w:tcW w:w="1040" w:type="dxa"/>
            <w:vAlign w:val="bottom"/>
            <w:shd w:val="clear" w:color="auto" w:fill="E1E1E1"/>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Senior secured term loan due 2029</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3,150.0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3,161.8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3,150.0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3,189.4</w:t>
            </w:r>
          </w:p>
        </w:tc>
        <w:tc>
          <w:tcPr>
            <w:tcW w:w="2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Senior secured revolving credit facility</w:t>
            </w:r>
          </w:p>
        </w:tc>
        <w:tc>
          <w:tcPr>
            <w:tcW w:w="70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200.0</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190.0</w:t>
            </w:r>
          </w:p>
        </w:tc>
        <w:tc>
          <w:tcPr>
            <w:tcW w:w="280" w:type="dxa"/>
            <w:vAlign w:val="bottom"/>
            <w:shd w:val="clear" w:color="auto" w:fill="E1E1E1"/>
          </w:tcPr>
          <w:p>
            <w:pPr>
              <w:spacing w:after="0"/>
              <w:rPr>
                <w:sz w:val="21"/>
                <w:szCs w:val="21"/>
                <w:color w:val="auto"/>
              </w:rPr>
            </w:pPr>
          </w:p>
        </w:tc>
        <w:tc>
          <w:tcPr>
            <w:tcW w:w="1040" w:type="dxa"/>
            <w:vAlign w:val="bottom"/>
            <w:shd w:val="clear" w:color="auto" w:fill="E1E1E1"/>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Foreign currency contracts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w:t>
            </w:r>
          </w:p>
        </w:tc>
        <w:tc>
          <w:tcPr>
            <w:tcW w:w="2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r>
        <w:trPr>
          <w:trHeight w:val="244"/>
        </w:trPr>
        <w:tc>
          <w:tcPr>
            <w:tcW w:w="3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Interest rate swap contracts</w:t>
            </w:r>
          </w:p>
        </w:tc>
        <w:tc>
          <w:tcPr>
            <w:tcW w:w="70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260" w:type="dxa"/>
            <w:vAlign w:val="bottom"/>
            <w:shd w:val="clear" w:color="auto" w:fill="E1E1E1"/>
          </w:tcPr>
          <w:p>
            <w:pPr>
              <w:spacing w:after="0"/>
              <w:rPr>
                <w:sz w:val="21"/>
                <w:szCs w:val="21"/>
                <w:color w:val="auto"/>
              </w:rPr>
            </w:pPr>
          </w:p>
        </w:tc>
        <w:tc>
          <w:tcPr>
            <w:tcW w:w="140" w:type="dxa"/>
            <w:vAlign w:val="bottom"/>
            <w:shd w:val="clear" w:color="auto" w:fill="E1E1E1"/>
          </w:tcPr>
          <w:p>
            <w:pPr>
              <w:spacing w:after="0"/>
              <w:rPr>
                <w:sz w:val="21"/>
                <w:szCs w:val="21"/>
                <w:color w:val="auto"/>
              </w:rPr>
            </w:pPr>
          </w:p>
        </w:tc>
        <w:tc>
          <w:tcPr>
            <w:tcW w:w="8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26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280" w:type="dxa"/>
            <w:vAlign w:val="bottom"/>
            <w:shd w:val="clear" w:color="auto" w:fill="E1E1E1"/>
          </w:tcPr>
          <w:p>
            <w:pPr>
              <w:spacing w:after="0"/>
              <w:rPr>
                <w:sz w:val="21"/>
                <w:szCs w:val="21"/>
                <w:color w:val="auto"/>
              </w:rPr>
            </w:pPr>
          </w:p>
        </w:tc>
        <w:tc>
          <w:tcPr>
            <w:tcW w:w="1040" w:type="dxa"/>
            <w:vAlign w:val="bottom"/>
            <w:shd w:val="clear" w:color="auto" w:fill="E1E1E1"/>
          </w:tcPr>
          <w:p>
            <w:pPr>
              <w:jc w:val="center"/>
              <w:spacing w:after="0"/>
              <w:rPr>
                <w:sz w:val="20"/>
                <w:szCs w:val="20"/>
                <w:color w:val="auto"/>
              </w:rPr>
            </w:pPr>
            <w:r>
              <w:rPr>
                <w:rFonts w:ascii="Times New Roman" w:cs="Times New Roman" w:eastAsia="Times New Roman" w:hAnsi="Times New Roman"/>
                <w:sz w:val="20"/>
                <w:szCs w:val="20"/>
                <w:color w:val="1E1E1E"/>
              </w:rPr>
              <w:t>Level 2</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Non-Recurring Fair Value Measurements</w:t>
      </w:r>
    </w:p>
    <w:p>
      <w:pPr>
        <w:spacing w:after="0" w:line="12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1E1E1E"/>
        </w:rPr>
        <w:t>For non-recurring fair value measurement discussions related to the discontinued operations, see Note 4 in these consolidated financial statements.</w:t>
      </w:r>
    </w:p>
    <w:p>
      <w:pPr>
        <w:spacing w:after="0" w:line="16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1E1E1E"/>
        </w:rPr>
        <w:t>During the first quarter of 2024, the Company recognized a loss on impairment of unutilized real estate within restructuring costs, net on the Consolidated Statements of Operations. The fair value was determined using Level 3 valuation inputs.</w:t>
      </w:r>
    </w:p>
    <w:p>
      <w:pPr>
        <w:spacing w:after="0" w:line="16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1E1E1E"/>
        </w:rPr>
        <w:t>The Company recorded the assets acquired and liabilities assumed from the Casa transaction during the second quarter of 2024, as well as the respective measurement adjustments in the third and fourth quarters of 2024, and first quarter of 2025. The fair values were determined using Level 3 valuation inputs. See Note 3 in these consolidated financial statements.</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spacing w:after="0" w:line="307" w:lineRule="exact"/>
        <w:rPr>
          <w:sz w:val="20"/>
          <w:szCs w:val="20"/>
          <w:color w:val="auto"/>
        </w:rPr>
      </w:pPr>
    </w:p>
    <w:p>
      <w:pPr>
        <w:ind w:left="460" w:hanging="460"/>
        <w:spacing w:after="0"/>
        <w:tabs>
          <w:tab w:leader="none" w:pos="460" w:val="left"/>
        </w:tabs>
        <w:numPr>
          <w:ilvl w:val="0"/>
          <w:numId w:val="58"/>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RESTRUCTURING COSTS</w:t>
      </w:r>
    </w:p>
    <w:p>
      <w:pPr>
        <w:spacing w:after="0" w:line="12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1E1E1E"/>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86</w:t>
      </w:r>
    </w:p>
    <w:p>
      <w:pPr>
        <w:sectPr>
          <w:pgSz w:w="11880" w:h="15480" w:orient="portrait"/>
          <w:cols w:equalWidth="0" w:num="1">
            <w:col w:w="10800"/>
          </w:cols>
          <w:pgMar w:left="540" w:top="515" w:right="54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20"/>
          <w:szCs w:val="20"/>
          <w:color w:val="1E1E1E"/>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8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1E1E1E"/>
        </w:rPr>
        <w:t>The Company’s net pretax restructuring activity included in restructuring costs, net on the Consolidated Statements of Operations, by segment, was as follows:</w:t>
      </w:r>
    </w:p>
    <w:p>
      <w:pPr>
        <w:spacing w:after="0" w:line="339"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720" w:type="dxa"/>
            <w:vAlign w:val="bottom"/>
            <w:tcBorders>
              <w:bottom w:val="single" w:sz="8" w:color="1E1E1E"/>
            </w:tcBorders>
          </w:tcPr>
          <w:p>
            <w:pPr>
              <w:spacing w:after="0"/>
              <w:rPr>
                <w:sz w:val="17"/>
                <w:szCs w:val="17"/>
                <w:color w:val="auto"/>
              </w:rPr>
            </w:pPr>
          </w:p>
        </w:tc>
        <w:tc>
          <w:tcPr>
            <w:tcW w:w="2240" w:type="dxa"/>
            <w:vAlign w:val="bottom"/>
            <w:tcBorders>
              <w:bottom w:val="single" w:sz="8" w:color="1E1E1E"/>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6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4740" w:type="dxa"/>
            <w:vAlign w:val="bottom"/>
            <w:tcBorders>
              <w:bottom w:val="single" w:sz="8" w:color="E1E1E1"/>
            </w:tcBorders>
          </w:tcPr>
          <w:p>
            <w:pPr>
              <w:spacing w:after="0"/>
              <w:rPr>
                <w:sz w:val="16"/>
                <w:szCs w:val="16"/>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80" w:type="dxa"/>
            <w:vAlign w:val="bottom"/>
            <w:tcBorders>
              <w:bottom w:val="single" w:sz="8" w:color="1E1E1E"/>
            </w:tcBorders>
          </w:tcPr>
          <w:p>
            <w:pPr>
              <w:spacing w:after="0"/>
              <w:rPr>
                <w:sz w:val="16"/>
                <w:szCs w:val="16"/>
                <w:color w:val="auto"/>
              </w:rPr>
            </w:pPr>
          </w:p>
        </w:tc>
        <w:tc>
          <w:tcPr>
            <w:tcW w:w="260" w:type="dxa"/>
            <w:vAlign w:val="bottom"/>
            <w:tcBorders>
              <w:bottom w:val="single" w:sz="8" w:color="E1E1E1"/>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60" w:type="dxa"/>
            <w:vAlign w:val="bottom"/>
            <w:tcBorders>
              <w:bottom w:val="single" w:sz="8" w:color="E1E1E1"/>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r>
      <w:tr>
        <w:trPr>
          <w:trHeight w:val="239"/>
        </w:trPr>
        <w:tc>
          <w:tcPr>
            <w:tcW w:w="47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RUCKUS</w:t>
            </w:r>
          </w:p>
        </w:tc>
        <w:tc>
          <w:tcPr>
            <w:tcW w:w="720" w:type="dxa"/>
            <w:vAlign w:val="bottom"/>
            <w:shd w:val="clear" w:color="auto" w:fill="E1E1E1"/>
          </w:tcPr>
          <w:p>
            <w:pPr>
              <w:jc w:val="right"/>
              <w:ind w:right="527"/>
              <w:spacing w:after="0"/>
              <w:rPr>
                <w:sz w:val="20"/>
                <w:szCs w:val="20"/>
                <w:color w:val="auto"/>
              </w:rPr>
            </w:pPr>
            <w:r>
              <w:rPr>
                <w:rFonts w:ascii="Times New Roman" w:cs="Times New Roman" w:eastAsia="Times New Roman" w:hAnsi="Times New Roman"/>
                <w:sz w:val="20"/>
                <w:szCs w:val="20"/>
                <w:color w:val="1E1E1E"/>
                <w:w w:val="79"/>
              </w:rPr>
              <w:t>$</w:t>
            </w:r>
          </w:p>
        </w:tc>
        <w:tc>
          <w:tcPr>
            <w:tcW w:w="3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260" w:type="dxa"/>
            <w:vAlign w:val="bottom"/>
            <w:shd w:val="clear" w:color="auto" w:fill="E1E1E1"/>
          </w:tcPr>
          <w:p>
            <w:pPr>
              <w:spacing w:after="0"/>
              <w:rPr>
                <w:sz w:val="20"/>
                <w:szCs w:val="20"/>
                <w:color w:val="auto"/>
              </w:rPr>
            </w:pPr>
          </w:p>
        </w:tc>
        <w:tc>
          <w:tcPr>
            <w:tcW w:w="2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260" w:type="dxa"/>
            <w:vAlign w:val="bottom"/>
            <w:shd w:val="clear" w:color="auto" w:fill="E1E1E1"/>
          </w:tcPr>
          <w:p>
            <w:pPr>
              <w:spacing w:after="0"/>
              <w:rPr>
                <w:sz w:val="20"/>
                <w:szCs w:val="20"/>
                <w:color w:val="auto"/>
              </w:rPr>
            </w:pPr>
          </w:p>
        </w:tc>
        <w:tc>
          <w:tcPr>
            <w:tcW w:w="2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7.5</w:t>
            </w:r>
          </w:p>
        </w:tc>
        <w:tc>
          <w:tcPr>
            <w:tcW w:w="80" w:type="dxa"/>
            <w:vAlign w:val="bottom"/>
            <w:shd w:val="clear" w:color="auto" w:fill="E1E1E1"/>
          </w:tcPr>
          <w:p>
            <w:pPr>
              <w:spacing w:after="0"/>
              <w:rPr>
                <w:sz w:val="20"/>
                <w:szCs w:val="20"/>
                <w:color w:val="auto"/>
              </w:rPr>
            </w:pPr>
          </w:p>
        </w:tc>
      </w:tr>
      <w:tr>
        <w:trPr>
          <w:trHeight w:val="24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1E1E1E"/>
              </w:rPr>
              <w:t>Aurora</w:t>
            </w: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32.7</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(5.8)</w:t>
            </w:r>
          </w:p>
        </w:tc>
      </w:tr>
      <w:tr>
        <w:trPr>
          <w:trHeight w:val="244"/>
        </w:trPr>
        <w:tc>
          <w:tcPr>
            <w:tcW w:w="4740" w:type="dxa"/>
            <w:vAlign w:val="bottom"/>
            <w:shd w:val="clear" w:color="auto" w:fill="E1E1E1"/>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Corporate and other </w:t>
            </w:r>
            <w:r>
              <w:rPr>
                <w:rFonts w:ascii="Times New Roman" w:cs="Times New Roman" w:eastAsia="Times New Roman" w:hAnsi="Times New Roman"/>
                <w:sz w:val="26"/>
                <w:szCs w:val="26"/>
                <w:color w:val="1E1E1E"/>
                <w:vertAlign w:val="superscript"/>
              </w:rPr>
              <w:t>(1)</w:t>
            </w:r>
          </w:p>
        </w:tc>
        <w:tc>
          <w:tcPr>
            <w:tcW w:w="720" w:type="dxa"/>
            <w:vAlign w:val="bottom"/>
            <w:tcBorders>
              <w:bottom w:val="single" w:sz="8" w:color="1E1E1E"/>
            </w:tcBorders>
            <w:shd w:val="clear" w:color="auto" w:fill="E1E1E1"/>
          </w:tcPr>
          <w:p>
            <w:pPr>
              <w:spacing w:after="0"/>
              <w:rPr>
                <w:sz w:val="21"/>
                <w:szCs w:val="21"/>
                <w:color w:val="auto"/>
              </w:rPr>
            </w:pPr>
          </w:p>
        </w:tc>
        <w:tc>
          <w:tcPr>
            <w:tcW w:w="3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4.0</w:t>
            </w:r>
          </w:p>
        </w:tc>
        <w:tc>
          <w:tcPr>
            <w:tcW w:w="260" w:type="dxa"/>
            <w:vAlign w:val="bottom"/>
            <w:shd w:val="clear" w:color="auto" w:fill="E1E1E1"/>
          </w:tcPr>
          <w:p>
            <w:pPr>
              <w:spacing w:after="0"/>
              <w:rPr>
                <w:sz w:val="21"/>
                <w:szCs w:val="21"/>
                <w:color w:val="auto"/>
              </w:rPr>
            </w:pPr>
          </w:p>
        </w:tc>
        <w:tc>
          <w:tcPr>
            <w:tcW w:w="240" w:type="dxa"/>
            <w:vAlign w:val="bottom"/>
            <w:tcBorders>
              <w:bottom w:val="single" w:sz="8" w:color="1E1E1E"/>
            </w:tcBorders>
            <w:shd w:val="clear" w:color="auto" w:fill="E1E1E1"/>
          </w:tcPr>
          <w:p>
            <w:pPr>
              <w:spacing w:after="0"/>
              <w:rPr>
                <w:sz w:val="21"/>
                <w:szCs w:val="21"/>
                <w:color w:val="auto"/>
              </w:rPr>
            </w:pPr>
          </w:p>
        </w:tc>
        <w:tc>
          <w:tcPr>
            <w:tcW w:w="8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260" w:type="dxa"/>
            <w:vAlign w:val="bottom"/>
            <w:shd w:val="clear" w:color="auto" w:fill="E1E1E1"/>
          </w:tcPr>
          <w:p>
            <w:pPr>
              <w:spacing w:after="0"/>
              <w:rPr>
                <w:sz w:val="21"/>
                <w:szCs w:val="21"/>
                <w:color w:val="auto"/>
              </w:rPr>
            </w:pPr>
          </w:p>
        </w:tc>
        <w:tc>
          <w:tcPr>
            <w:tcW w:w="240" w:type="dxa"/>
            <w:vAlign w:val="bottom"/>
            <w:tcBorders>
              <w:bottom w:val="single" w:sz="8" w:color="1E1E1E"/>
            </w:tcBorders>
            <w:shd w:val="clear" w:color="auto" w:fill="E1E1E1"/>
          </w:tcPr>
          <w:p>
            <w:pPr>
              <w:spacing w:after="0"/>
              <w:rPr>
                <w:sz w:val="21"/>
                <w:szCs w:val="21"/>
                <w:color w:val="auto"/>
              </w:rPr>
            </w:pPr>
          </w:p>
        </w:tc>
        <w:tc>
          <w:tcPr>
            <w:tcW w:w="8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27.7</w:t>
            </w:r>
          </w:p>
        </w:tc>
        <w:tc>
          <w:tcPr>
            <w:tcW w:w="80" w:type="dxa"/>
            <w:vAlign w:val="bottom"/>
            <w:shd w:val="clear" w:color="auto" w:fill="E1E1E1"/>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1E1E1E"/>
              </w:rPr>
              <w:t>Total</w:t>
            </w:r>
          </w:p>
        </w:tc>
        <w:tc>
          <w:tcPr>
            <w:tcW w:w="720" w:type="dxa"/>
            <w:vAlign w:val="bottom"/>
            <w:tcBorders>
              <w:bottom w:val="single" w:sz="8" w:color="1E1E1E"/>
            </w:tcBorders>
          </w:tcPr>
          <w:p>
            <w:pPr>
              <w:jc w:val="right"/>
              <w:ind w:right="527"/>
              <w:spacing w:after="0"/>
              <w:rPr>
                <w:sz w:val="20"/>
                <w:szCs w:val="20"/>
                <w:color w:val="auto"/>
              </w:rPr>
            </w:pPr>
            <w:r>
              <w:rPr>
                <w:rFonts w:ascii="Times New Roman" w:cs="Times New Roman" w:eastAsia="Times New Roman" w:hAnsi="Times New Roman"/>
                <w:sz w:val="20"/>
                <w:szCs w:val="20"/>
                <w:color w:val="1E1E1E"/>
                <w:w w:val="79"/>
              </w:rPr>
              <w:t>$</w:t>
            </w:r>
          </w:p>
        </w:tc>
        <w:tc>
          <w:tcPr>
            <w:tcW w:w="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19.7</w:t>
            </w:r>
          </w:p>
        </w:tc>
        <w:tc>
          <w:tcPr>
            <w:tcW w:w="260" w:type="dxa"/>
            <w:vAlign w:val="bottom"/>
          </w:tcPr>
          <w:p>
            <w:pPr>
              <w:spacing w:after="0"/>
              <w:rPr>
                <w:sz w:val="20"/>
                <w:szCs w:val="20"/>
                <w:color w:val="auto"/>
              </w:rPr>
            </w:pPr>
          </w:p>
        </w:tc>
        <w:tc>
          <w:tcPr>
            <w:tcW w:w="24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36.7</w:t>
            </w:r>
          </w:p>
        </w:tc>
        <w:tc>
          <w:tcPr>
            <w:tcW w:w="260" w:type="dxa"/>
            <w:vAlign w:val="bottom"/>
          </w:tcPr>
          <w:p>
            <w:pPr>
              <w:spacing w:after="0"/>
              <w:rPr>
                <w:sz w:val="20"/>
                <w:szCs w:val="20"/>
                <w:color w:val="auto"/>
              </w:rPr>
            </w:pPr>
          </w:p>
        </w:tc>
        <w:tc>
          <w:tcPr>
            <w:tcW w:w="24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29.4</w:t>
            </w:r>
          </w:p>
        </w:tc>
        <w:tc>
          <w:tcPr>
            <w:tcW w:w="8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0" w:lineRule="exact"/>
        <w:rPr>
          <w:sz w:val="20"/>
          <w:szCs w:val="20"/>
          <w:color w:val="auto"/>
        </w:rPr>
      </w:pPr>
    </w:p>
    <w:p>
      <w:pPr>
        <w:ind w:left="1500" w:right="40" w:hanging="492"/>
        <w:spacing w:after="0" w:line="245" w:lineRule="auto"/>
        <w:tabs>
          <w:tab w:leader="none" w:pos="1500" w:val="left"/>
        </w:tabs>
        <w:numPr>
          <w:ilvl w:val="0"/>
          <w:numId w:val="5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corporate and other line item above reflects general corporate restructuring costs that were previously allocated to the CCS segment, OWN segment, DAS business unit and Home segment. These indirect expenses have been classified as continuing operations for all periods presented since the costs were not directly attributable to these discontinued operations. Beginning in the first quarter of 2024, the corporate and other costs related to the Home segment have been reallocated to the Company’s remaining segments and partially offset by income from the Vantiva TSA.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will be reallocated to the Company’s remaining segments beginning in the first quarter of 2026.</w:t>
      </w:r>
    </w:p>
    <w:p>
      <w:pPr>
        <w:spacing w:after="0" w:line="19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1E1E1E"/>
        </w:rPr>
        <w:t>The Company expects to make cash payments of $4.6 million in 2026 and $0.3 million during 2027 to settle these restructuring actions. Additional restructuring actions related to the transformation initiative are expected to be identified, and the resulting charges and cash requirements could be material.</w:t>
      </w:r>
    </w:p>
    <w:p>
      <w:pPr>
        <w:spacing w:after="0" w:line="302" w:lineRule="exact"/>
        <w:rPr>
          <w:sz w:val="20"/>
          <w:szCs w:val="20"/>
          <w:color w:val="auto"/>
        </w:rPr>
      </w:pPr>
    </w:p>
    <w:p>
      <w:pPr>
        <w:ind w:right="7580"/>
        <w:spacing w:after="0" w:line="366" w:lineRule="auto"/>
        <w:tabs>
          <w:tab w:leader="none" w:pos="450" w:val="left"/>
        </w:tabs>
        <w:numPr>
          <w:ilvl w:val="0"/>
          <w:numId w:val="6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EMPLOYEE BENEFIT PLANS Defined Contribution Plans</w:t>
      </w:r>
    </w:p>
    <w:p>
      <w:pPr>
        <w:spacing w:after="0" w:line="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1E1E1E"/>
        </w:rPr>
        <w:t>The Company and certain of its subsidiaries have defined contribution retirement savings plans, the most significant of which is a 401(k) plan in the U.S. These plans allow employees meeting certain requirements to contribute a portion of their compensation on a pretax and/or after-tax basis in accordance with guidelines established by the plans and the Internal Revenue Service or other tax authorities. The Company matches a percentage of the employee contributions up to certain limits. During the years ended December 31, 2025, 2024 and 2023, the Company made contributions to defined contribution retirement savings plans of $8.4 million, $13.4 million and $8.9 million, respectively.</w:t>
      </w:r>
    </w:p>
    <w:p>
      <w:pPr>
        <w:spacing w:after="0" w:line="20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1E1E1E"/>
        </w:rPr>
        <w:t>The Company also maintains noncontributory and contributory deferred compensation plans. During the years ended December 31, 2025, 2024 and 2023, the Company recognized pretax costs (benefits) of $(0.1) million, $(0.8) million and $0.7 million, respectively, related to these plans. The liability related to these plans was $7.3 million and $9.5 million as of December 31, 2025 and 2024, respectively.</w:t>
      </w:r>
    </w:p>
    <w:p>
      <w:pPr>
        <w:spacing w:after="0" w:line="307" w:lineRule="exact"/>
        <w:rPr>
          <w:sz w:val="20"/>
          <w:szCs w:val="20"/>
          <w:color w:val="auto"/>
        </w:rPr>
      </w:pPr>
    </w:p>
    <w:p>
      <w:pPr>
        <w:ind w:left="460" w:hanging="460"/>
        <w:spacing w:after="0"/>
        <w:tabs>
          <w:tab w:leader="none" w:pos="460" w:val="left"/>
        </w:tabs>
        <w:numPr>
          <w:ilvl w:val="0"/>
          <w:numId w:val="61"/>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INCOME TAXES</w:t>
      </w:r>
    </w:p>
    <w:p>
      <w:pPr>
        <w:spacing w:after="0" w:line="123"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20"/>
          <w:szCs w:val="20"/>
          <w:color w:val="1E1E1E"/>
        </w:rPr>
        <w:t>Income (loss) from continuing operations before income taxes includes the results from domestic and international operations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40" w:type="dxa"/>
            <w:vAlign w:val="bottom"/>
          </w:tcPr>
          <w:p>
            <w:pPr>
              <w:spacing w:after="0"/>
              <w:rPr>
                <w:sz w:val="17"/>
                <w:szCs w:val="17"/>
                <w:color w:val="auto"/>
              </w:rPr>
            </w:pPr>
          </w:p>
        </w:tc>
        <w:tc>
          <w:tcPr>
            <w:tcW w:w="780" w:type="dxa"/>
            <w:vAlign w:val="bottom"/>
            <w:tcBorders>
              <w:bottom w:val="single" w:sz="8" w:color="1E1E1E"/>
            </w:tcBorders>
          </w:tcPr>
          <w:p>
            <w:pPr>
              <w:spacing w:after="0"/>
              <w:rPr>
                <w:sz w:val="17"/>
                <w:szCs w:val="17"/>
                <w:color w:val="auto"/>
              </w:rPr>
            </w:pPr>
          </w:p>
        </w:tc>
        <w:tc>
          <w:tcPr>
            <w:tcW w:w="2380" w:type="dxa"/>
            <w:vAlign w:val="bottom"/>
            <w:tcBorders>
              <w:bottom w:val="single" w:sz="8" w:color="1E1E1E"/>
            </w:tcBorders>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640" w:type="dxa"/>
            <w:vAlign w:val="bottom"/>
            <w:tcBorders>
              <w:bottom w:val="single" w:sz="8" w:color="E1E1E1"/>
            </w:tcBorders>
          </w:tcPr>
          <w:p>
            <w:pPr>
              <w:spacing w:after="0"/>
              <w:rPr>
                <w:sz w:val="16"/>
                <w:szCs w:val="16"/>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00" w:type="dxa"/>
            <w:vAlign w:val="bottom"/>
            <w:tcBorders>
              <w:bottom w:val="single" w:sz="8" w:color="1E1E1E"/>
            </w:tcBorders>
          </w:tcPr>
          <w:p>
            <w:pPr>
              <w:spacing w:after="0"/>
              <w:rPr>
                <w:sz w:val="16"/>
                <w:szCs w:val="16"/>
                <w:color w:val="auto"/>
              </w:rPr>
            </w:pPr>
          </w:p>
        </w:tc>
        <w:tc>
          <w:tcPr>
            <w:tcW w:w="28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00" w:type="dxa"/>
            <w:vAlign w:val="bottom"/>
            <w:tcBorders>
              <w:bottom w:val="single" w:sz="8" w:color="1E1E1E"/>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Pr>
          <w:p>
            <w:pPr>
              <w:spacing w:after="0"/>
              <w:rPr>
                <w:sz w:val="16"/>
                <w:szCs w:val="16"/>
                <w:color w:val="auto"/>
              </w:rPr>
            </w:pPr>
          </w:p>
        </w:tc>
      </w:tr>
      <w:tr>
        <w:trPr>
          <w:trHeight w:val="239"/>
        </w:trPr>
        <w:tc>
          <w:tcPr>
            <w:tcW w:w="66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U.S. companies</w:t>
            </w:r>
          </w:p>
        </w:tc>
        <w:tc>
          <w:tcPr>
            <w:tcW w:w="780" w:type="dxa"/>
            <w:vAlign w:val="bottom"/>
            <w:shd w:val="clear" w:color="auto" w:fill="E1E1E1"/>
          </w:tcPr>
          <w:p>
            <w:pPr>
              <w:jc w:val="right"/>
              <w:ind w:right="587"/>
              <w:spacing w:after="0"/>
              <w:rPr>
                <w:sz w:val="20"/>
                <w:szCs w:val="20"/>
                <w:color w:val="auto"/>
              </w:rPr>
            </w:pPr>
            <w:r>
              <w:rPr>
                <w:rFonts w:ascii="Times New Roman" w:cs="Times New Roman" w:eastAsia="Times New Roman" w:hAnsi="Times New Roman"/>
                <w:sz w:val="20"/>
                <w:szCs w:val="20"/>
                <w:color w:val="1E1E1E"/>
                <w:w w:val="79"/>
              </w:rPr>
              <w:t>$</w:t>
            </w:r>
          </w:p>
        </w:tc>
        <w:tc>
          <w:tcPr>
            <w:tcW w:w="4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17.9</w:t>
            </w:r>
          </w:p>
        </w:tc>
        <w:tc>
          <w:tcPr>
            <w:tcW w:w="280" w:type="dxa"/>
            <w:vAlign w:val="bottom"/>
            <w:shd w:val="clear" w:color="auto" w:fill="E1E1E1"/>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(298.9)</w:t>
            </w:r>
          </w:p>
        </w:tc>
        <w:tc>
          <w:tcPr>
            <w:tcW w:w="12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(575.1)</w:t>
            </w:r>
          </w:p>
        </w:tc>
      </w:tr>
      <w:tr>
        <w:trPr>
          <w:trHeight w:val="244"/>
        </w:trPr>
        <w:tc>
          <w:tcPr>
            <w:tcW w:w="664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Non-U.S. companies</w:t>
            </w:r>
          </w:p>
        </w:tc>
        <w:tc>
          <w:tcPr>
            <w:tcW w:w="780" w:type="dxa"/>
            <w:vAlign w:val="bottom"/>
            <w:tcBorders>
              <w:bottom w:val="single" w:sz="8" w:color="1E1E1E"/>
            </w:tcBorders>
          </w:tcPr>
          <w:p>
            <w:pPr>
              <w:spacing w:after="0"/>
              <w:rPr>
                <w:sz w:val="21"/>
                <w:szCs w:val="21"/>
                <w:color w:val="auto"/>
              </w:rPr>
            </w:pPr>
          </w:p>
        </w:tc>
        <w:tc>
          <w:tcPr>
            <w:tcW w:w="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37.0</w:t>
            </w:r>
          </w:p>
        </w:tc>
        <w:tc>
          <w:tcPr>
            <w:tcW w:w="280" w:type="dxa"/>
            <w:vAlign w:val="bottom"/>
            <w:tcBorders>
              <w:bottom w:val="single" w:sz="8" w:color="E1E1E1"/>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26.0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80" w:type="dxa"/>
            <w:vAlign w:val="bottom"/>
          </w:tcPr>
          <w:p>
            <w:pPr>
              <w:spacing w:after="0"/>
              <w:rPr>
                <w:sz w:val="21"/>
                <w:szCs w:val="21"/>
                <w:color w:val="auto"/>
              </w:rPr>
            </w:pPr>
          </w:p>
        </w:tc>
      </w:tr>
      <w:tr>
        <w:trPr>
          <w:trHeight w:val="239"/>
        </w:trPr>
        <w:tc>
          <w:tcPr>
            <w:tcW w:w="664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Income (loss) from continuing operations before income taxes</w:t>
            </w:r>
          </w:p>
        </w:tc>
        <w:tc>
          <w:tcPr>
            <w:tcW w:w="780" w:type="dxa"/>
            <w:vAlign w:val="bottom"/>
            <w:shd w:val="clear" w:color="auto" w:fill="E1E1E1"/>
          </w:tcPr>
          <w:p>
            <w:pPr>
              <w:jc w:val="right"/>
              <w:ind w:right="587"/>
              <w:spacing w:after="0"/>
              <w:rPr>
                <w:sz w:val="20"/>
                <w:szCs w:val="20"/>
                <w:color w:val="auto"/>
              </w:rPr>
            </w:pPr>
            <w:r>
              <w:rPr>
                <w:rFonts w:ascii="Times New Roman" w:cs="Times New Roman" w:eastAsia="Times New Roman" w:hAnsi="Times New Roman"/>
                <w:sz w:val="20"/>
                <w:szCs w:val="20"/>
                <w:color w:val="1E1E1E"/>
                <w:w w:val="79"/>
              </w:rPr>
              <w:t>$</w:t>
            </w:r>
          </w:p>
        </w:tc>
        <w:tc>
          <w:tcPr>
            <w:tcW w:w="4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54.9</w:t>
            </w:r>
          </w:p>
        </w:tc>
        <w:tc>
          <w:tcPr>
            <w:tcW w:w="280" w:type="dxa"/>
            <w:vAlign w:val="bottom"/>
            <w:shd w:val="clear" w:color="auto" w:fill="E1E1E1"/>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(272.9)</w:t>
            </w:r>
          </w:p>
        </w:tc>
        <w:tc>
          <w:tcPr>
            <w:tcW w:w="12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(573.0)</w:t>
            </w:r>
          </w:p>
        </w:tc>
      </w:tr>
      <w:tr>
        <w:trPr>
          <w:trHeight w:val="20"/>
        </w:trPr>
        <w:tc>
          <w:tcPr>
            <w:tcW w:w="6640" w:type="dxa"/>
            <w:vAlign w:val="bottom"/>
          </w:tcPr>
          <w:p>
            <w:pPr>
              <w:spacing w:after="0" w:line="20" w:lineRule="exact"/>
              <w:rPr>
                <w:sz w:val="1"/>
                <w:szCs w:val="1"/>
                <w:color w:val="auto"/>
              </w:rPr>
            </w:pPr>
          </w:p>
        </w:tc>
        <w:tc>
          <w:tcPr>
            <w:tcW w:w="780" w:type="dxa"/>
            <w:vAlign w:val="bottom"/>
            <w:tcBorders>
              <w:top w:val="single" w:sz="8" w:color="1E1E1E"/>
              <w:bottom w:val="single" w:sz="8" w:color="1E1E1E"/>
            </w:tcBorders>
          </w:tcPr>
          <w:p>
            <w:pPr>
              <w:spacing w:after="0" w:line="20" w:lineRule="exact"/>
              <w:rPr>
                <w:sz w:val="1"/>
                <w:szCs w:val="1"/>
                <w:color w:val="auto"/>
              </w:rPr>
            </w:pPr>
          </w:p>
        </w:tc>
        <w:tc>
          <w:tcPr>
            <w:tcW w:w="400" w:type="dxa"/>
            <w:vAlign w:val="bottom"/>
            <w:tcBorders>
              <w:top w:val="single" w:sz="8" w:color="1E1E1E"/>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5147945</wp:posOffset>
            </wp:positionH>
            <wp:positionV relativeFrom="paragraph">
              <wp:posOffset>-511810</wp:posOffset>
            </wp:positionV>
            <wp:extent cx="1656080" cy="164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a:extLst>
                        <a:ext uri="{28A0092B-C50C-407E-A947-70E740481C1C}"/>
                      </a:extLst>
                    </a:blip>
                    <a:srcRect/>
                    <a:stretch>
                      <a:fillRect/>
                    </a:stretch>
                  </pic:blipFill>
                  <pic:spPr bwMode="auto">
                    <a:xfrm>
                      <a:off x="0" y="0"/>
                      <a:ext cx="1656080" cy="16446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-192405</wp:posOffset>
            </wp:positionV>
            <wp:extent cx="1656080" cy="164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a:extLst>
                        <a:ext uri="{28A0092B-C50C-407E-A947-70E740481C1C}"/>
                      </a:extLst>
                    </a:blip>
                    <a:srcRect/>
                    <a:stretch>
                      <a:fillRect/>
                    </a:stretch>
                  </pic:blipFill>
                  <pic:spPr bwMode="auto">
                    <a:xfrm>
                      <a:off x="0" y="0"/>
                      <a:ext cx="1656080" cy="164465"/>
                    </a:xfrm>
                    <a:prstGeom prst="rect">
                      <a:avLst/>
                    </a:prstGeom>
                    <a:noFill/>
                  </pic:spPr>
                </pic:pic>
              </a:graphicData>
            </a:graphic>
          </wp:anchor>
        </w:drawing>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87</w:t>
      </w:r>
    </w:p>
    <w:p>
      <w:pPr>
        <w:sectPr>
          <w:pgSz w:w="11880" w:h="15480" w:orient="portrait"/>
          <w:cols w:equalWidth="0" w:num="1">
            <w:col w:w="10800"/>
          </w:cols>
          <w:pgMar w:left="540" w:top="515" w:right="54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components of income tax expense (benefit)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880" w:type="dxa"/>
            <w:vAlign w:val="bottom"/>
            <w:tcBorders>
              <w:bottom w:val="single" w:sz="8" w:color="1E1E1E"/>
            </w:tcBorders>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20" w:type="dxa"/>
            <w:vAlign w:val="bottom"/>
            <w:tcBorders>
              <w:bottom w:val="single" w:sz="8" w:color="E1E1E1"/>
            </w:tcBorders>
          </w:tcPr>
          <w:p>
            <w:pPr>
              <w:spacing w:after="0"/>
              <w:rPr>
                <w:sz w:val="16"/>
                <w:szCs w:val="16"/>
                <w:color w:val="auto"/>
              </w:rPr>
            </w:pPr>
          </w:p>
        </w:tc>
        <w:tc>
          <w:tcPr>
            <w:tcW w:w="174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0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80" w:type="dxa"/>
            <w:vAlign w:val="bottom"/>
            <w:tcBorders>
              <w:bottom w:val="single" w:sz="8" w:color="E1E1E1"/>
            </w:tcBorders>
          </w:tcPr>
          <w:p>
            <w:pPr>
              <w:spacing w:after="0"/>
              <w:rPr>
                <w:sz w:val="16"/>
                <w:szCs w:val="16"/>
                <w:color w:val="auto"/>
              </w:rPr>
            </w:pPr>
          </w:p>
        </w:tc>
        <w:tc>
          <w:tcPr>
            <w:tcW w:w="10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00" w:type="dxa"/>
            <w:vAlign w:val="bottom"/>
            <w:tcBorders>
              <w:bottom w:val="single" w:sz="8" w:color="1E1E1E"/>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00" w:type="dxa"/>
            <w:vAlign w:val="bottom"/>
            <w:tcBorders>
              <w:bottom w:val="single" w:sz="8" w:color="E1E1E1"/>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9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Current:</w:t>
            </w:r>
          </w:p>
        </w:tc>
        <w:tc>
          <w:tcPr>
            <w:tcW w:w="174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90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900" w:type="dxa"/>
            <w:vAlign w:val="bottom"/>
            <w:shd w:val="clear" w:color="auto" w:fill="E1E1E1"/>
          </w:tcPr>
          <w:p>
            <w:pPr>
              <w:spacing w:after="0"/>
              <w:rPr>
                <w:sz w:val="20"/>
                <w:szCs w:val="20"/>
                <w:color w:val="auto"/>
              </w:rPr>
            </w:pPr>
          </w:p>
        </w:tc>
        <w:tc>
          <w:tcPr>
            <w:tcW w:w="30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92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Federal</w:t>
            </w:r>
          </w:p>
        </w:tc>
        <w:tc>
          <w:tcPr>
            <w:tcW w:w="17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(130.5)</w:t>
            </w:r>
          </w:p>
        </w:tc>
        <w:tc>
          <w:tcPr>
            <w:tcW w:w="10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(81.2)</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Foreign</w:t>
            </w:r>
          </w:p>
        </w:tc>
        <w:tc>
          <w:tcPr>
            <w:tcW w:w="174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33.4</w:t>
            </w:r>
          </w:p>
        </w:tc>
        <w:tc>
          <w:tcPr>
            <w:tcW w:w="1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19.3</w:t>
            </w:r>
          </w:p>
        </w:tc>
        <w:tc>
          <w:tcPr>
            <w:tcW w:w="30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44.1</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State</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(15.6)</w:t>
            </w: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(4.4)</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Current income tax expense (benefit)</w:t>
            </w:r>
          </w:p>
        </w:tc>
        <w:tc>
          <w:tcPr>
            <w:tcW w:w="1740" w:type="dxa"/>
            <w:vAlign w:val="bottom"/>
            <w:shd w:val="clear" w:color="auto" w:fill="E1E1E1"/>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80" w:type="dxa"/>
            <w:vAlign w:val="bottom"/>
            <w:shd w:val="clear" w:color="auto" w:fill="E1E1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20" w:type="dxa"/>
            <w:vAlign w:val="bottom"/>
            <w:vMerge w:val="continue"/>
            <w:shd w:val="clear" w:color="auto" w:fill="E1E1E1"/>
          </w:tcPr>
          <w:p>
            <w:pPr>
              <w:spacing w:after="0"/>
              <w:rPr>
                <w:sz w:val="20"/>
                <w:szCs w:val="20"/>
                <w:color w:val="auto"/>
              </w:rPr>
            </w:pPr>
          </w:p>
        </w:tc>
        <w:tc>
          <w:tcPr>
            <w:tcW w:w="1740" w:type="dxa"/>
            <w:vAlign w:val="bottom"/>
            <w:shd w:val="clear" w:color="auto" w:fill="E1E1E1"/>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(121.7)</w:t>
            </w:r>
          </w:p>
        </w:tc>
        <w:tc>
          <w:tcPr>
            <w:tcW w:w="100" w:type="dxa"/>
            <w:vAlign w:val="bottom"/>
            <w:vMerge w:val="continue"/>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(77.5)</w:t>
            </w:r>
          </w:p>
        </w:tc>
        <w:tc>
          <w:tcPr>
            <w:tcW w:w="2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109.8</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1E1E1E"/>
              </w:rPr>
              <w:t>Deferred:</w:t>
            </w:r>
          </w:p>
        </w:tc>
        <w:tc>
          <w:tcPr>
            <w:tcW w:w="1740" w:type="dxa"/>
            <w:vAlign w:val="bottom"/>
          </w:tcPr>
          <w:p>
            <w:pPr>
              <w:spacing w:after="0"/>
              <w:rPr>
                <w:sz w:val="20"/>
                <w:szCs w:val="20"/>
                <w:color w:val="auto"/>
              </w:rPr>
            </w:pPr>
          </w:p>
        </w:tc>
        <w:tc>
          <w:tcPr>
            <w:tcW w:w="260" w:type="dxa"/>
            <w:vAlign w:val="bottom"/>
            <w:tcBorders>
              <w:top w:val="single" w:sz="8" w:color="1E1E1E"/>
            </w:tcBorders>
          </w:tcPr>
          <w:p>
            <w:pPr>
              <w:spacing w:after="0"/>
              <w:rPr>
                <w:sz w:val="20"/>
                <w:szCs w:val="20"/>
                <w:color w:val="auto"/>
              </w:rPr>
            </w:pPr>
          </w:p>
        </w:tc>
        <w:tc>
          <w:tcPr>
            <w:tcW w:w="900" w:type="dxa"/>
            <w:vAlign w:val="bottom"/>
            <w:tcBorders>
              <w:top w:val="single" w:sz="8" w:color="1E1E1E"/>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1E1E1E"/>
            </w:tcBorders>
          </w:tcPr>
          <w:p>
            <w:pPr>
              <w:spacing w:after="0"/>
              <w:rPr>
                <w:sz w:val="20"/>
                <w:szCs w:val="20"/>
                <w:color w:val="auto"/>
              </w:rPr>
            </w:pPr>
          </w:p>
        </w:tc>
        <w:tc>
          <w:tcPr>
            <w:tcW w:w="900" w:type="dxa"/>
            <w:vAlign w:val="bottom"/>
            <w:tcBorders>
              <w:top w:val="single" w:sz="8" w:color="1E1E1E"/>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1E1E1E"/>
            </w:tcBorders>
          </w:tcPr>
          <w:p>
            <w:pPr>
              <w:spacing w:after="0"/>
              <w:rPr>
                <w:sz w:val="20"/>
                <w:szCs w:val="20"/>
                <w:color w:val="auto"/>
              </w:rPr>
            </w:pPr>
          </w:p>
        </w:tc>
        <w:tc>
          <w:tcPr>
            <w:tcW w:w="920" w:type="dxa"/>
            <w:vAlign w:val="bottom"/>
            <w:tcBorders>
              <w:top w:val="single" w:sz="8" w:color="1E1E1E"/>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Federal</w:t>
            </w:r>
          </w:p>
        </w:tc>
        <w:tc>
          <w:tcPr>
            <w:tcW w:w="2000" w:type="dxa"/>
            <w:vAlign w:val="bottom"/>
            <w:gridSpan w:val="2"/>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(106.7)</w:t>
            </w:r>
          </w:p>
        </w:tc>
        <w:tc>
          <w:tcPr>
            <w:tcW w:w="360" w:type="dxa"/>
            <w:vAlign w:val="bottom"/>
            <w:gridSpan w:val="2"/>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(30.7)</w:t>
            </w:r>
          </w:p>
        </w:tc>
        <w:tc>
          <w:tcPr>
            <w:tcW w:w="2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(24.5)</w:t>
            </w:r>
          </w:p>
        </w:tc>
        <w:tc>
          <w:tcPr>
            <w:tcW w:w="0" w:type="dxa"/>
            <w:vAlign w:val="bottom"/>
          </w:tcPr>
          <w:p>
            <w:pPr>
              <w:spacing w:after="0"/>
              <w:rPr>
                <w:sz w:val="1"/>
                <w:szCs w:val="1"/>
                <w:color w:val="auto"/>
              </w:rPr>
            </w:pPr>
          </w:p>
        </w:tc>
      </w:tr>
      <w:tr>
        <w:trPr>
          <w:trHeight w:val="244"/>
        </w:trPr>
        <w:tc>
          <w:tcPr>
            <w:tcW w:w="49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Foreign</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(23.4)</w:t>
            </w:r>
          </w:p>
        </w:tc>
        <w:tc>
          <w:tcPr>
            <w:tcW w:w="0" w:type="dxa"/>
            <w:vAlign w:val="bottom"/>
          </w:tcPr>
          <w:p>
            <w:pPr>
              <w:spacing w:after="0"/>
              <w:rPr>
                <w:sz w:val="1"/>
                <w:szCs w:val="1"/>
                <w:color w:val="auto"/>
              </w:rPr>
            </w:pPr>
          </w:p>
        </w:tc>
      </w:tr>
      <w:tr>
        <w:trPr>
          <w:trHeight w:val="244"/>
        </w:trPr>
        <w:tc>
          <w:tcPr>
            <w:tcW w:w="49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State</w:t>
            </w:r>
          </w:p>
        </w:tc>
        <w:tc>
          <w:tcPr>
            <w:tcW w:w="174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8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(21.4)</w:t>
            </w:r>
          </w:p>
        </w:tc>
        <w:tc>
          <w:tcPr>
            <w:tcW w:w="1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35.0</w:t>
            </w:r>
          </w:p>
        </w:tc>
        <w:tc>
          <w:tcPr>
            <w:tcW w:w="30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17.9</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1E1E1E"/>
              </w:rPr>
              <w:t>Deferred income tax expense (benefit)</w:t>
            </w:r>
          </w:p>
        </w:tc>
        <w:tc>
          <w:tcPr>
            <w:tcW w:w="1740" w:type="dxa"/>
            <w:vAlign w:val="bottom"/>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2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(147.7)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(30.0)</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income tax expense (benefit)</w:t>
            </w:r>
          </w:p>
        </w:tc>
        <w:tc>
          <w:tcPr>
            <w:tcW w:w="1740" w:type="dxa"/>
            <w:vAlign w:val="bottom"/>
            <w:shd w:val="clear" w:color="auto" w:fill="E1E1E1"/>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80" w:type="dxa"/>
            <w:vAlign w:val="bottom"/>
            <w:shd w:val="clear" w:color="auto" w:fill="E1E1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20" w:type="dxa"/>
            <w:vAlign w:val="bottom"/>
            <w:vMerge w:val="continue"/>
            <w:shd w:val="clear" w:color="auto" w:fill="E1E1E1"/>
          </w:tcPr>
          <w:p>
            <w:pPr>
              <w:spacing w:after="0"/>
              <w:rPr>
                <w:sz w:val="20"/>
                <w:szCs w:val="20"/>
                <w:color w:val="auto"/>
              </w:rPr>
            </w:pPr>
          </w:p>
        </w:tc>
        <w:tc>
          <w:tcPr>
            <w:tcW w:w="1740" w:type="dxa"/>
            <w:vAlign w:val="bottom"/>
            <w:shd w:val="clear" w:color="auto" w:fill="E1E1E1"/>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(269.4)</w:t>
            </w:r>
          </w:p>
        </w:tc>
        <w:tc>
          <w:tcPr>
            <w:tcW w:w="100" w:type="dxa"/>
            <w:vAlign w:val="bottom"/>
            <w:vMerge w:val="continue"/>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(66.9)</w:t>
            </w:r>
          </w:p>
        </w:tc>
        <w:tc>
          <w:tcPr>
            <w:tcW w:w="2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79.8</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-1150620</wp:posOffset>
            </wp:positionV>
            <wp:extent cx="1838960" cy="164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8">
                      <a:extLst>
                        <a:ext uri="{28A0092B-C50C-407E-A947-70E740481C1C}"/>
                      </a:extLst>
                    </a:blip>
                    <a:srcRect/>
                    <a:stretch>
                      <a:fillRect/>
                    </a:stretch>
                  </pic:blipFill>
                  <pic:spPr bwMode="auto">
                    <a:xfrm>
                      <a:off x="0" y="0"/>
                      <a:ext cx="1838960" cy="16446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-192405</wp:posOffset>
            </wp:positionV>
            <wp:extent cx="1838960" cy="164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9">
                      <a:extLst>
                        <a:ext uri="{28A0092B-C50C-407E-A947-70E740481C1C}"/>
                      </a:extLst>
                    </a:blip>
                    <a:srcRect/>
                    <a:stretch>
                      <a:fillRect/>
                    </a:stretch>
                  </pic:blipFill>
                  <pic:spPr bwMode="auto">
                    <a:xfrm>
                      <a:off x="0" y="0"/>
                      <a:ext cx="1838960" cy="16446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reflects the effective income tax rate reconciliation for the year ended December 31, 2025 (ASU 2023-09)</w:t>
      </w:r>
    </w:p>
    <w:p>
      <w:pPr>
        <w:spacing w:after="0"/>
        <w:rPr>
          <w:sz w:val="20"/>
          <w:szCs w:val="20"/>
          <w:color w:val="auto"/>
        </w:rPr>
      </w:pPr>
      <w:r>
        <w:rPr>
          <w:rFonts w:ascii="Times New Roman" w:cs="Times New Roman" w:eastAsia="Times New Roman" w:hAnsi="Times New Roman"/>
          <w:sz w:val="20"/>
          <w:szCs w:val="20"/>
          <w:color w:val="1E1E1E"/>
        </w:rPr>
        <w:t>(Prospective Adoption):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1E1E1E"/>
              </w:rPr>
              <w:t>% of Statutory</w:t>
            </w:r>
          </w:p>
        </w:tc>
        <w:tc>
          <w:tcPr>
            <w:tcW w:w="0" w:type="dxa"/>
            <w:vAlign w:val="bottom"/>
          </w:tcPr>
          <w:p>
            <w:pPr>
              <w:spacing w:after="0"/>
              <w:rPr>
                <w:sz w:val="1"/>
                <w:szCs w:val="1"/>
                <w:color w:val="auto"/>
              </w:rPr>
            </w:pPr>
          </w:p>
        </w:tc>
      </w:tr>
      <w:tr>
        <w:trPr>
          <w:trHeight w:val="204"/>
        </w:trPr>
        <w:tc>
          <w:tcPr>
            <w:tcW w:w="6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1E1E1E"/>
              </w:rPr>
              <w:t>Tax</w:t>
            </w:r>
          </w:p>
        </w:tc>
        <w:tc>
          <w:tcPr>
            <w:tcW w:w="0" w:type="dxa"/>
            <w:vAlign w:val="bottom"/>
          </w:tcPr>
          <w:p>
            <w:pPr>
              <w:spacing w:after="0"/>
              <w:rPr>
                <w:sz w:val="1"/>
                <w:szCs w:val="1"/>
                <w:color w:val="auto"/>
              </w:rPr>
            </w:pPr>
          </w:p>
        </w:tc>
      </w:tr>
      <w:tr>
        <w:trPr>
          <w:trHeight w:val="239"/>
        </w:trPr>
        <w:tc>
          <w:tcPr>
            <w:tcW w:w="672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Pre-tax book income</w:t>
            </w:r>
          </w:p>
        </w:tc>
        <w:tc>
          <w:tcPr>
            <w:tcW w:w="940" w:type="dxa"/>
            <w:vAlign w:val="bottom"/>
            <w:tcBorders>
              <w:top w:val="single" w:sz="8" w:color="E1E1E1"/>
            </w:tcBorders>
            <w:shd w:val="clear" w:color="auto" w:fill="E1E1E1"/>
          </w:tcPr>
          <w:p>
            <w:pPr>
              <w:spacing w:after="0"/>
              <w:rPr>
                <w:sz w:val="20"/>
                <w:szCs w:val="20"/>
                <w:color w:val="auto"/>
              </w:rPr>
            </w:pPr>
          </w:p>
        </w:tc>
        <w:tc>
          <w:tcPr>
            <w:tcW w:w="240" w:type="dxa"/>
            <w:vAlign w:val="bottom"/>
            <w:tcBorders>
              <w:top w:val="single" w:sz="8" w:color="1E1E1E"/>
            </w:tcBorders>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54.9</w:t>
            </w:r>
          </w:p>
        </w:tc>
        <w:tc>
          <w:tcPr>
            <w:tcW w:w="320" w:type="dxa"/>
            <w:vAlign w:val="bottom"/>
            <w:tcBorders>
              <w:top w:val="single" w:sz="8" w:color="E1E1E1"/>
            </w:tcBorders>
            <w:shd w:val="clear" w:color="auto" w:fill="E1E1E1"/>
          </w:tcPr>
          <w:p>
            <w:pPr>
              <w:spacing w:after="0"/>
              <w:rPr>
                <w:sz w:val="20"/>
                <w:szCs w:val="20"/>
                <w:color w:val="auto"/>
              </w:rPr>
            </w:pPr>
          </w:p>
        </w:tc>
        <w:tc>
          <w:tcPr>
            <w:tcW w:w="1260" w:type="dxa"/>
            <w:vAlign w:val="bottom"/>
            <w:tcBorders>
              <w:top w:val="single" w:sz="8" w:color="1E1E1E"/>
            </w:tcBorders>
            <w:shd w:val="clear" w:color="auto" w:fill="E1E1E1"/>
          </w:tcPr>
          <w:p>
            <w:pPr>
              <w:spacing w:after="0"/>
              <w:rPr>
                <w:sz w:val="20"/>
                <w:szCs w:val="20"/>
                <w:color w:val="auto"/>
              </w:rPr>
            </w:pPr>
          </w:p>
        </w:tc>
        <w:tc>
          <w:tcPr>
            <w:tcW w:w="22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U.S. federal statutory tax rate</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11.5</w:t>
            </w:r>
          </w:p>
        </w:tc>
        <w:tc>
          <w:tcPr>
            <w:tcW w:w="320" w:type="dxa"/>
            <w:vAlign w:val="bottom"/>
            <w:shd w:val="clear" w:color="auto" w:fill="E1E1E1"/>
          </w:tcPr>
          <w:p>
            <w:pPr>
              <w:spacing w:after="0"/>
              <w:rPr>
                <w:sz w:val="21"/>
                <w:szCs w:val="21"/>
                <w:color w:val="auto"/>
              </w:rPr>
            </w:pPr>
          </w:p>
        </w:tc>
        <w:tc>
          <w:tcPr>
            <w:tcW w:w="148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21.0%</w:t>
            </w:r>
          </w:p>
        </w:tc>
        <w:tc>
          <w:tcPr>
            <w:tcW w:w="0" w:type="dxa"/>
            <w:vAlign w:val="bottom"/>
          </w:tcPr>
          <w:p>
            <w:pPr>
              <w:spacing w:after="0"/>
              <w:rPr>
                <w:sz w:val="1"/>
                <w:szCs w:val="1"/>
                <w:color w:val="auto"/>
              </w:rPr>
            </w:pPr>
          </w:p>
        </w:tc>
      </w:tr>
      <w:tr>
        <w:trPr>
          <w:trHeight w:val="244"/>
        </w:trPr>
        <w:tc>
          <w:tcPr>
            <w:tcW w:w="67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State and local income taxes, net of federal income tax effect </w:t>
            </w:r>
            <w:r>
              <w:rPr>
                <w:rFonts w:ascii="Times New Roman" w:cs="Times New Roman" w:eastAsia="Times New Roman" w:hAnsi="Times New Roman"/>
                <w:sz w:val="26"/>
                <w:szCs w:val="26"/>
                <w:color w:val="1E1E1E"/>
                <w:vertAlign w:val="superscript"/>
              </w:rPr>
              <w:t>(1)</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(41.2)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-74.9%</w:t>
            </w: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Foreign tax effects:</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126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1E1E1E"/>
              </w:rPr>
              <w:t>United Kingdom:</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Statutory tax rate difference between United Kingdom &amp; United States</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0.8</w:t>
            </w:r>
          </w:p>
        </w:tc>
        <w:tc>
          <w:tcPr>
            <w:tcW w:w="320" w:type="dxa"/>
            <w:vAlign w:val="bottom"/>
            <w:shd w:val="clear" w:color="auto" w:fill="E1E1E1"/>
          </w:tcPr>
          <w:p>
            <w:pPr>
              <w:spacing w:after="0"/>
              <w:rPr>
                <w:sz w:val="21"/>
                <w:szCs w:val="21"/>
                <w:color w:val="auto"/>
              </w:rPr>
            </w:pPr>
          </w:p>
        </w:tc>
        <w:tc>
          <w:tcPr>
            <w:tcW w:w="148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1.4%</w:t>
            </w:r>
          </w:p>
        </w:tc>
        <w:tc>
          <w:tcPr>
            <w:tcW w:w="0" w:type="dxa"/>
            <w:vAlign w:val="bottom"/>
          </w:tcPr>
          <w:p>
            <w:pPr>
              <w:spacing w:after="0"/>
              <w:rPr>
                <w:sz w:val="1"/>
                <w:szCs w:val="1"/>
                <w:color w:val="auto"/>
              </w:rPr>
            </w:pPr>
          </w:p>
        </w:tc>
      </w:tr>
      <w:tr>
        <w:trPr>
          <w:trHeight w:val="244"/>
        </w:trPr>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Foreign tax credit</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(1.3)</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-2.3%</w:t>
            </w: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Other</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320" w:type="dxa"/>
            <w:vAlign w:val="bottom"/>
            <w:shd w:val="clear" w:color="auto" w:fill="E1E1E1"/>
          </w:tcPr>
          <w:p>
            <w:pPr>
              <w:spacing w:after="0"/>
              <w:rPr>
                <w:sz w:val="21"/>
                <w:szCs w:val="21"/>
                <w:color w:val="auto"/>
              </w:rPr>
            </w:pPr>
          </w:p>
        </w:tc>
        <w:tc>
          <w:tcPr>
            <w:tcW w:w="148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2.3%</w:t>
            </w: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1E1E1E"/>
              </w:rPr>
              <w:t>Other foreign jurisdictions</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w:t>
            </w:r>
          </w:p>
        </w:tc>
        <w:tc>
          <w:tcPr>
            <w:tcW w:w="32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6.5%</w:t>
            </w: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Subpart F income net of U.S. foreign tax credits</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320" w:type="dxa"/>
            <w:vAlign w:val="bottom"/>
            <w:shd w:val="clear" w:color="auto" w:fill="E1E1E1"/>
          </w:tcPr>
          <w:p>
            <w:pPr>
              <w:spacing w:after="0"/>
              <w:rPr>
                <w:sz w:val="21"/>
                <w:szCs w:val="21"/>
                <w:color w:val="auto"/>
              </w:rPr>
            </w:pPr>
          </w:p>
        </w:tc>
        <w:tc>
          <w:tcPr>
            <w:tcW w:w="148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1.3%</w:t>
            </w: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1E1E1E"/>
              </w:rPr>
              <w:t>Unremitted earnings</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32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3.2%</w:t>
            </w: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Tax credits:</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126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U.S. R&amp;D credit</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(8.0)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-14.5%</w:t>
            </w: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U.S. foreign tax credits</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420" w:type="dxa"/>
            <w:vAlign w:val="bottom"/>
            <w:gridSpan w:val="2"/>
            <w:shd w:val="clear" w:color="auto" w:fill="E1E1E1"/>
          </w:tcPr>
          <w:p>
            <w:pPr>
              <w:jc w:val="right"/>
              <w:ind w:right="240"/>
              <w:spacing w:after="0"/>
              <w:rPr>
                <w:sz w:val="20"/>
                <w:szCs w:val="20"/>
                <w:color w:val="auto"/>
              </w:rPr>
            </w:pPr>
            <w:r>
              <w:rPr>
                <w:rFonts w:ascii="Times New Roman" w:cs="Times New Roman" w:eastAsia="Times New Roman" w:hAnsi="Times New Roman"/>
                <w:sz w:val="20"/>
                <w:szCs w:val="20"/>
                <w:color w:val="1E1E1E"/>
              </w:rPr>
              <w:t>(1.0)</w:t>
            </w:r>
          </w:p>
        </w:tc>
        <w:tc>
          <w:tcPr>
            <w:tcW w:w="148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-1.9%</w:t>
            </w: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1E1E1E"/>
              </w:rPr>
              <w:t>Changes in valuation allowances</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(259.8)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-472.9%</w:t>
            </w: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Nontaxable or nondeductible items:</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1260" w:type="dxa"/>
            <w:vAlign w:val="bottom"/>
            <w:shd w:val="clear" w:color="auto" w:fill="E1E1E1"/>
          </w:tcPr>
          <w:p>
            <w:pPr>
              <w:spacing w:after="0"/>
              <w:rPr>
                <w:sz w:val="21"/>
                <w:szCs w:val="21"/>
                <w:color w:val="auto"/>
              </w:rPr>
            </w:pPr>
          </w:p>
        </w:tc>
        <w:tc>
          <w:tcPr>
            <w:tcW w:w="22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Nondeductible compensation</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25.6</w:t>
            </w:r>
          </w:p>
        </w:tc>
        <w:tc>
          <w:tcPr>
            <w:tcW w:w="32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46.6%</w:t>
            </w: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Equity-based compensation awards</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420" w:type="dxa"/>
            <w:vAlign w:val="bottom"/>
            <w:gridSpan w:val="2"/>
            <w:shd w:val="clear" w:color="auto" w:fill="E1E1E1"/>
          </w:tcPr>
          <w:p>
            <w:pPr>
              <w:jc w:val="right"/>
              <w:ind w:right="240"/>
              <w:spacing w:after="0"/>
              <w:rPr>
                <w:sz w:val="20"/>
                <w:szCs w:val="20"/>
                <w:color w:val="auto"/>
              </w:rPr>
            </w:pPr>
            <w:r>
              <w:rPr>
                <w:rFonts w:ascii="Times New Roman" w:cs="Times New Roman" w:eastAsia="Times New Roman" w:hAnsi="Times New Roman"/>
                <w:sz w:val="20"/>
                <w:szCs w:val="20"/>
                <w:color w:val="1E1E1E"/>
              </w:rPr>
              <w:t>(5.5)</w:t>
            </w:r>
          </w:p>
        </w:tc>
        <w:tc>
          <w:tcPr>
            <w:tcW w:w="148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-10.1%</w:t>
            </w:r>
          </w:p>
        </w:tc>
        <w:tc>
          <w:tcPr>
            <w:tcW w:w="0" w:type="dxa"/>
            <w:vAlign w:val="bottom"/>
          </w:tcPr>
          <w:p>
            <w:pPr>
              <w:spacing w:after="0"/>
              <w:rPr>
                <w:sz w:val="1"/>
                <w:szCs w:val="1"/>
                <w:color w:val="auto"/>
              </w:rPr>
            </w:pPr>
          </w:p>
        </w:tc>
      </w:tr>
      <w:tr>
        <w:trPr>
          <w:trHeight w:val="244"/>
        </w:trPr>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Other</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0.8</w:t>
            </w:r>
          </w:p>
        </w:tc>
        <w:tc>
          <w:tcPr>
            <w:tcW w:w="32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1.4%</w:t>
            </w:r>
          </w:p>
        </w:tc>
        <w:tc>
          <w:tcPr>
            <w:tcW w:w="0" w:type="dxa"/>
            <w:vAlign w:val="bottom"/>
          </w:tcPr>
          <w:p>
            <w:pPr>
              <w:spacing w:after="0"/>
              <w:rPr>
                <w:sz w:val="1"/>
                <w:szCs w:val="1"/>
                <w:color w:val="auto"/>
              </w:rPr>
            </w:pPr>
          </w:p>
        </w:tc>
      </w:tr>
      <w:tr>
        <w:trPr>
          <w:trHeight w:val="244"/>
        </w:trPr>
        <w:tc>
          <w:tcPr>
            <w:tcW w:w="67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Changes in unrecognized tax benefits</w:t>
            </w:r>
          </w:p>
        </w:tc>
        <w:tc>
          <w:tcPr>
            <w:tcW w:w="94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320" w:type="dxa"/>
            <w:vAlign w:val="bottom"/>
            <w:shd w:val="clear" w:color="auto" w:fill="E1E1E1"/>
          </w:tcPr>
          <w:p>
            <w:pPr>
              <w:spacing w:after="0"/>
              <w:rPr>
                <w:sz w:val="21"/>
                <w:szCs w:val="21"/>
                <w:color w:val="auto"/>
              </w:rPr>
            </w:pPr>
          </w:p>
        </w:tc>
        <w:tc>
          <w:tcPr>
            <w:tcW w:w="148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2.5%</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Income tax provision</w:t>
            </w:r>
          </w:p>
        </w:tc>
        <w:tc>
          <w:tcPr>
            <w:tcW w:w="940" w:type="dxa"/>
            <w:vAlign w:val="bottom"/>
            <w:vMerge w:val="restart"/>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shd w:val="clear" w:color="auto" w:fill="1E1E1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7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(269.4)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-490.4%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1E1E1E"/>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80" w:right="580" w:hanging="480"/>
        <w:spacing w:after="0" w:line="280" w:lineRule="auto"/>
        <w:tabs>
          <w:tab w:leader="none" w:pos="480" w:val="left"/>
        </w:tabs>
        <w:numPr>
          <w:ilvl w:val="0"/>
          <w:numId w:val="6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U.S. states and local jurisdictions that contribute to the majority (greater than 50%) of the tax effect in this category include California, Georgia, Illinois, New Jersey and Tennessee.</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1E1E1E"/>
        </w:rPr>
        <w:t>The Company adopted ASU 2023-09 prospectively beginning in fiscal year 2025. As permitted by the standard, prior-period disclosures have not been retrospectively adjusted. The reconciliation of income taxes attributable to operations at the applicable U.S. federal statutory tax rates to income tax expense for periods prior to adoption reflects the presentation required under legacy ASC 740 and is not directly comparable to the current year presentation.</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88</w:t>
      </w:r>
    </w:p>
    <w:p>
      <w:pPr>
        <w:sectPr>
          <w:pgSz w:w="11880" w:h="15480" w:orient="portrait"/>
          <w:cols w:equalWidth="0" w:num="1">
            <w:col w:w="10800"/>
          </w:cols>
          <w:pgMar w:left="540" w:top="515" w:right="540" w:bottom="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0" w:type="dxa"/>
            <w:vAlign w:val="bottom"/>
            <w:tcBorders>
              <w:bottom w:val="single" w:sz="8" w:color="1E1E1E"/>
            </w:tcBorders>
            <w:gridSpan w:val="4"/>
          </w:tcPr>
          <w:p>
            <w:pPr>
              <w:jc w:val="right"/>
              <w:ind w:right="307"/>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6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120" w:type="dxa"/>
            <w:vAlign w:val="bottom"/>
            <w:tcBorders>
              <w:bottom w:val="single" w:sz="8" w:color="E1E1E1"/>
            </w:tcBorders>
          </w:tcPr>
          <w:p>
            <w:pPr>
              <w:spacing w:after="0"/>
              <w:rPr>
                <w:sz w:val="16"/>
                <w:szCs w:val="16"/>
                <w:color w:val="auto"/>
              </w:rPr>
            </w:pPr>
          </w:p>
        </w:tc>
        <w:tc>
          <w:tcPr>
            <w:tcW w:w="760" w:type="dxa"/>
            <w:vAlign w:val="bottom"/>
            <w:tcBorders>
              <w:bottom w:val="single" w:sz="8" w:color="E1E1E1"/>
            </w:tcBorders>
          </w:tcPr>
          <w:p>
            <w:pPr>
              <w:spacing w:after="0"/>
              <w:rPr>
                <w:sz w:val="16"/>
                <w:szCs w:val="16"/>
                <w:color w:val="auto"/>
              </w:rPr>
            </w:pPr>
          </w:p>
        </w:tc>
        <w:tc>
          <w:tcPr>
            <w:tcW w:w="1180" w:type="dxa"/>
            <w:vAlign w:val="bottom"/>
            <w:tcBorders>
              <w:bottom w:val="single" w:sz="8" w:color="1E1E1E"/>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80" w:type="dxa"/>
            <w:vAlign w:val="bottom"/>
            <w:tcBorders>
              <w:bottom w:val="single" w:sz="8" w:color="1E1E1E"/>
            </w:tcBorders>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640" w:type="dxa"/>
            <w:vAlign w:val="bottom"/>
            <w:tcBorders>
              <w:bottom w:val="single" w:sz="8" w:color="1E1E1E"/>
            </w:tcBorders>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61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Provision for income taxes at federal statutory rate</w:t>
            </w:r>
          </w:p>
        </w:tc>
        <w:tc>
          <w:tcPr>
            <w:tcW w:w="760" w:type="dxa"/>
            <w:vAlign w:val="bottom"/>
            <w:shd w:val="clear" w:color="auto" w:fill="E1E1E1"/>
          </w:tcPr>
          <w:p>
            <w:pPr>
              <w:spacing w:after="0"/>
              <w:rPr>
                <w:sz w:val="20"/>
                <w:szCs w:val="20"/>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(56.7)</w:t>
            </w:r>
          </w:p>
        </w:tc>
        <w:tc>
          <w:tcPr>
            <w:tcW w:w="1140" w:type="dxa"/>
            <w:vAlign w:val="bottom"/>
          </w:tcPr>
          <w:p>
            <w:pPr>
              <w:jc w:val="right"/>
              <w:ind w:right="947"/>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(121.3)</w:t>
            </w: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1E1E1E"/>
              </w:rPr>
              <w:t>State income taxes, net of federal tax effect</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(13.9)</w:t>
            </w:r>
          </w:p>
        </w:tc>
        <w:tc>
          <w:tcPr>
            <w:tcW w:w="11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(8.7)</w:t>
            </w:r>
          </w:p>
        </w:tc>
      </w:tr>
      <w:tr>
        <w:trPr>
          <w:trHeight w:val="244"/>
        </w:trPr>
        <w:tc>
          <w:tcPr>
            <w:tcW w:w="61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permanent items</w:t>
            </w:r>
          </w:p>
        </w:tc>
        <w:tc>
          <w:tcPr>
            <w:tcW w:w="76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5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30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6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80" w:type="dxa"/>
            <w:vAlign w:val="bottom"/>
            <w:shd w:val="clear" w:color="auto" w:fill="E1E1E1"/>
          </w:tcPr>
          <w:p>
            <w:pPr>
              <w:spacing w:after="0"/>
              <w:rPr>
                <w:sz w:val="21"/>
                <w:szCs w:val="21"/>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80" w:type="dxa"/>
            <w:vAlign w:val="bottom"/>
          </w:tcPr>
          <w:p>
            <w:pPr>
              <w:spacing w:after="0"/>
              <w:rPr>
                <w:sz w:val="21"/>
                <w:szCs w:val="21"/>
                <w:color w:val="auto"/>
              </w:rPr>
            </w:pPr>
          </w:p>
        </w:tc>
      </w:tr>
      <w:tr>
        <w:trPr>
          <w:trHeight w:val="244"/>
        </w:trPr>
        <w:tc>
          <w:tcPr>
            <w:tcW w:w="61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changes in tax laws and tax rulings</w:t>
            </w:r>
          </w:p>
        </w:tc>
        <w:tc>
          <w:tcPr>
            <w:tcW w:w="76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5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0.2</w:t>
            </w:r>
          </w:p>
        </w:tc>
        <w:tc>
          <w:tcPr>
            <w:tcW w:w="30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(4.1)</w:t>
            </w: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1E1E1E"/>
              </w:rPr>
              <w:t>Goodwill related items</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97.8</w:t>
            </w:r>
          </w:p>
        </w:tc>
        <w:tc>
          <w:tcPr>
            <w:tcW w:w="80" w:type="dxa"/>
            <w:vAlign w:val="bottom"/>
          </w:tcPr>
          <w:p>
            <w:pPr>
              <w:spacing w:after="0"/>
              <w:rPr>
                <w:sz w:val="21"/>
                <w:szCs w:val="21"/>
                <w:color w:val="auto"/>
              </w:rPr>
            </w:pPr>
          </w:p>
        </w:tc>
      </w:tr>
      <w:tr>
        <w:trPr>
          <w:trHeight w:val="244"/>
        </w:trPr>
        <w:tc>
          <w:tcPr>
            <w:tcW w:w="61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Base erosion and anti-abuse tax</w:t>
            </w:r>
          </w:p>
        </w:tc>
        <w:tc>
          <w:tcPr>
            <w:tcW w:w="76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5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300" w:type="dxa"/>
            <w:vAlign w:val="bottom"/>
            <w:shd w:val="clear" w:color="auto" w:fill="E1E1E1"/>
          </w:tcPr>
          <w:p>
            <w:pPr>
              <w:spacing w:after="0"/>
              <w:rPr>
                <w:sz w:val="21"/>
                <w:szCs w:val="21"/>
                <w:color w:val="auto"/>
              </w:rPr>
            </w:pPr>
          </w:p>
        </w:tc>
        <w:tc>
          <w:tcPr>
            <w:tcW w:w="1140" w:type="dxa"/>
            <w:vAlign w:val="bottom"/>
            <w:shd w:val="clear" w:color="auto" w:fill="E1E1E1"/>
          </w:tcPr>
          <w:p>
            <w:pPr>
              <w:spacing w:after="0"/>
              <w:rPr>
                <w:sz w:val="21"/>
                <w:szCs w:val="21"/>
                <w:color w:val="auto"/>
              </w:rPr>
            </w:pPr>
          </w:p>
        </w:tc>
        <w:tc>
          <w:tcPr>
            <w:tcW w:w="72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1E1E1E"/>
              </w:rPr>
              <w:t>Federal tax credits</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(12.4)</w:t>
            </w:r>
          </w:p>
        </w:tc>
        <w:tc>
          <w:tcPr>
            <w:tcW w:w="11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(13.6)</w:t>
            </w:r>
          </w:p>
        </w:tc>
      </w:tr>
      <w:tr>
        <w:trPr>
          <w:trHeight w:val="244"/>
        </w:trPr>
        <w:tc>
          <w:tcPr>
            <w:tcW w:w="61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Change in unrecognized tax benefits</w:t>
            </w:r>
          </w:p>
        </w:tc>
        <w:tc>
          <w:tcPr>
            <w:tcW w:w="76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88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(9.4)</w:t>
            </w:r>
          </w:p>
        </w:tc>
        <w:tc>
          <w:tcPr>
            <w:tcW w:w="1140" w:type="dxa"/>
            <w:vAlign w:val="bottom"/>
            <w:shd w:val="clear" w:color="auto" w:fill="E1E1E1"/>
          </w:tcPr>
          <w:p>
            <w:pPr>
              <w:spacing w:after="0"/>
              <w:rPr>
                <w:sz w:val="21"/>
                <w:szCs w:val="21"/>
                <w:color w:val="auto"/>
              </w:rPr>
            </w:pPr>
          </w:p>
        </w:tc>
        <w:tc>
          <w:tcPr>
            <w:tcW w:w="72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(3.4)</w:t>
            </w: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1E1E1E"/>
              </w:rPr>
              <w:t>Withholding taxes and Subpart F income, net of foreign tax credits</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15.2</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12.8</w:t>
            </w:r>
          </w:p>
        </w:tc>
        <w:tc>
          <w:tcPr>
            <w:tcW w:w="80" w:type="dxa"/>
            <w:vAlign w:val="bottom"/>
          </w:tcPr>
          <w:p>
            <w:pPr>
              <w:spacing w:after="0"/>
              <w:rPr>
                <w:sz w:val="21"/>
                <w:szCs w:val="21"/>
                <w:color w:val="auto"/>
              </w:rPr>
            </w:pPr>
          </w:p>
        </w:tc>
      </w:tr>
      <w:tr>
        <w:trPr>
          <w:trHeight w:val="244"/>
        </w:trPr>
        <w:tc>
          <w:tcPr>
            <w:tcW w:w="61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Foreign earnings taxed at other than federal rate</w:t>
            </w:r>
          </w:p>
        </w:tc>
        <w:tc>
          <w:tcPr>
            <w:tcW w:w="76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880" w:type="dxa"/>
            <w:vAlign w:val="bottom"/>
            <w:gridSpan w:val="2"/>
            <w:shd w:val="clear" w:color="auto" w:fill="E1E1E1"/>
          </w:tcPr>
          <w:p>
            <w:pPr>
              <w:jc w:val="right"/>
              <w:ind w:right="220"/>
              <w:spacing w:after="0"/>
              <w:rPr>
                <w:sz w:val="20"/>
                <w:szCs w:val="20"/>
                <w:color w:val="auto"/>
              </w:rPr>
            </w:pPr>
            <w:r>
              <w:rPr>
                <w:rFonts w:ascii="Times New Roman" w:cs="Times New Roman" w:eastAsia="Times New Roman" w:hAnsi="Times New Roman"/>
                <w:sz w:val="20"/>
                <w:szCs w:val="20"/>
                <w:color w:val="1E1E1E"/>
              </w:rPr>
              <w:t>(3.8)</w:t>
            </w:r>
          </w:p>
        </w:tc>
        <w:tc>
          <w:tcPr>
            <w:tcW w:w="1140" w:type="dxa"/>
            <w:vAlign w:val="bottom"/>
            <w:shd w:val="clear" w:color="auto" w:fill="E1E1E1"/>
          </w:tcPr>
          <w:p>
            <w:pPr>
              <w:spacing w:after="0"/>
              <w:rPr>
                <w:sz w:val="21"/>
                <w:szCs w:val="21"/>
                <w:color w:val="auto"/>
              </w:rPr>
            </w:pPr>
          </w:p>
        </w:tc>
        <w:tc>
          <w:tcPr>
            <w:tcW w:w="6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80" w:type="dxa"/>
            <w:vAlign w:val="bottom"/>
            <w:shd w:val="clear" w:color="auto" w:fill="E1E1E1"/>
          </w:tcPr>
          <w:p>
            <w:pPr>
              <w:spacing w:after="0"/>
              <w:rPr>
                <w:sz w:val="21"/>
                <w:szCs w:val="21"/>
                <w:color w:val="auto"/>
              </w:rPr>
            </w:pPr>
          </w:p>
        </w:tc>
      </w:tr>
      <w:tr>
        <w:trPr>
          <w:trHeight w:val="258"/>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1E1E1E"/>
              </w:rPr>
              <w:t>Tax provision adjustments and revisions to prior years</w:t>
            </w:r>
            <w:r>
              <w:rPr>
                <w:rFonts w:ascii="Calibri" w:cs="Calibri" w:eastAsia="Calibri" w:hAnsi="Calibri"/>
                <w:sz w:val="20"/>
                <w:szCs w:val="20"/>
                <w:color w:val="1E1E1E"/>
              </w:rPr>
              <w:t>ʾ</w:t>
            </w:r>
            <w:r>
              <w:rPr>
                <w:rFonts w:ascii="Times New Roman" w:cs="Times New Roman" w:eastAsia="Times New Roman" w:hAnsi="Times New Roman"/>
                <w:sz w:val="20"/>
                <w:szCs w:val="20"/>
                <w:color w:val="1E1E1E"/>
              </w:rPr>
              <w:t xml:space="preserve"> returns</w:t>
            </w: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(5.1)</w:t>
            </w:r>
          </w:p>
        </w:tc>
        <w:tc>
          <w:tcPr>
            <w:tcW w:w="1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13.2</w:t>
            </w:r>
          </w:p>
        </w:tc>
        <w:tc>
          <w:tcPr>
            <w:tcW w:w="80" w:type="dxa"/>
            <w:vAlign w:val="bottom"/>
          </w:tcPr>
          <w:p>
            <w:pPr>
              <w:spacing w:after="0"/>
              <w:rPr>
                <w:sz w:val="22"/>
                <w:szCs w:val="22"/>
                <w:color w:val="auto"/>
              </w:rPr>
            </w:pPr>
          </w:p>
        </w:tc>
      </w:tr>
      <w:tr>
        <w:trPr>
          <w:trHeight w:val="244"/>
        </w:trPr>
        <w:tc>
          <w:tcPr>
            <w:tcW w:w="612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Change in valuation allowance</w:t>
            </w:r>
          </w:p>
        </w:tc>
        <w:tc>
          <w:tcPr>
            <w:tcW w:w="760" w:type="dxa"/>
            <w:vAlign w:val="bottom"/>
            <w:shd w:val="clear" w:color="auto" w:fill="E1E1E1"/>
          </w:tcPr>
          <w:p>
            <w:pPr>
              <w:spacing w:after="0"/>
              <w:rPr>
                <w:sz w:val="21"/>
                <w:szCs w:val="21"/>
                <w:color w:val="auto"/>
              </w:rPr>
            </w:pPr>
          </w:p>
        </w:tc>
        <w:tc>
          <w:tcPr>
            <w:tcW w:w="1180" w:type="dxa"/>
            <w:vAlign w:val="bottom"/>
            <w:tcBorders>
              <w:bottom w:val="single" w:sz="8" w:color="1E1E1E"/>
            </w:tcBorders>
            <w:shd w:val="clear" w:color="auto" w:fill="E1E1E1"/>
          </w:tcPr>
          <w:p>
            <w:pPr>
              <w:spacing w:after="0"/>
              <w:rPr>
                <w:sz w:val="21"/>
                <w:szCs w:val="21"/>
                <w:color w:val="auto"/>
              </w:rPr>
            </w:pPr>
          </w:p>
        </w:tc>
        <w:tc>
          <w:tcPr>
            <w:tcW w:w="5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300" w:type="dxa"/>
            <w:vAlign w:val="bottom"/>
            <w:shd w:val="clear" w:color="auto" w:fill="E1E1E1"/>
          </w:tcPr>
          <w:p>
            <w:pPr>
              <w:spacing w:after="0"/>
              <w:rPr>
                <w:sz w:val="21"/>
                <w:szCs w:val="21"/>
                <w:color w:val="auto"/>
              </w:rPr>
            </w:pPr>
          </w:p>
        </w:tc>
        <w:tc>
          <w:tcPr>
            <w:tcW w:w="1140" w:type="dxa"/>
            <w:vAlign w:val="bottom"/>
            <w:tcBorders>
              <w:bottom w:val="single" w:sz="8" w:color="1E1E1E"/>
            </w:tcBorders>
            <w:shd w:val="clear" w:color="auto" w:fill="E1E1E1"/>
          </w:tcPr>
          <w:p>
            <w:pPr>
              <w:spacing w:after="0"/>
              <w:rPr>
                <w:sz w:val="21"/>
                <w:szCs w:val="21"/>
                <w:color w:val="auto"/>
              </w:rPr>
            </w:pPr>
          </w:p>
        </w:tc>
        <w:tc>
          <w:tcPr>
            <w:tcW w:w="6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95.0</w:t>
            </w:r>
          </w:p>
        </w:tc>
        <w:tc>
          <w:tcPr>
            <w:tcW w:w="80" w:type="dxa"/>
            <w:vAlign w:val="bottom"/>
            <w:shd w:val="clear" w:color="auto" w:fill="E1E1E1"/>
          </w:tcPr>
          <w:p>
            <w:pPr>
              <w:spacing w:after="0"/>
              <w:rPr>
                <w:sz w:val="21"/>
                <w:szCs w:val="21"/>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1E1E1E"/>
              </w:rPr>
              <w:t>Total provision for income taxes</w:t>
            </w:r>
          </w:p>
        </w:tc>
        <w:tc>
          <w:tcPr>
            <w:tcW w:w="760" w:type="dxa"/>
            <w:vAlign w:val="bottom"/>
          </w:tcPr>
          <w:p>
            <w:pPr>
              <w:spacing w:after="0"/>
              <w:rPr>
                <w:sz w:val="20"/>
                <w:szCs w:val="20"/>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(66.9)</w:t>
            </w:r>
          </w:p>
        </w:tc>
        <w:tc>
          <w:tcPr>
            <w:tcW w:w="1140" w:type="dxa"/>
            <w:vAlign w:val="bottom"/>
          </w:tcPr>
          <w:p>
            <w:pPr>
              <w:jc w:val="right"/>
              <w:ind w:right="947"/>
              <w:spacing w:after="0"/>
              <w:rPr>
                <w:sz w:val="20"/>
                <w:szCs w:val="20"/>
                <w:color w:val="auto"/>
              </w:rPr>
            </w:pPr>
            <w:r>
              <w:rPr>
                <w:rFonts w:ascii="Times New Roman" w:cs="Times New Roman" w:eastAsia="Times New Roman" w:hAnsi="Times New Roman"/>
                <w:sz w:val="20"/>
                <w:szCs w:val="20"/>
                <w:color w:val="1E1E1E"/>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79.8</w:t>
            </w:r>
          </w:p>
        </w:tc>
        <w:tc>
          <w:tcPr>
            <w:tcW w:w="8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top w:val="single" w:sz="8" w:color="1E1E1E"/>
              <w:bottom w:val="single" w:sz="8" w:color="1E1E1E"/>
            </w:tcBorders>
          </w:tcPr>
          <w:p>
            <w:pPr>
              <w:spacing w:after="0" w:line="20" w:lineRule="exact"/>
              <w:rPr>
                <w:sz w:val="1"/>
                <w:szCs w:val="1"/>
                <w:color w:val="auto"/>
              </w:rPr>
            </w:pPr>
          </w:p>
        </w:tc>
        <w:tc>
          <w:tcPr>
            <w:tcW w:w="58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6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-2225040</wp:posOffset>
            </wp:positionV>
            <wp:extent cx="2439670" cy="164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extLst>
                        <a:ext uri="{28A0092B-C50C-407E-A947-70E740481C1C}"/>
                      </a:extLst>
                    </a:blip>
                    <a:srcRect/>
                    <a:stretch>
                      <a:fillRect/>
                    </a:stretch>
                  </pic:blipFill>
                  <pic:spPr bwMode="auto">
                    <a:xfrm>
                      <a:off x="0" y="0"/>
                      <a:ext cx="2439670" cy="164465"/>
                    </a:xfrm>
                    <a:prstGeom prst="rect">
                      <a:avLst/>
                    </a:prstGeom>
                    <a:noFill/>
                  </pic:spPr>
                </pic:pic>
              </a:graphicData>
            </a:graphic>
          </wp:anchor>
        </w:drawing>
      </w:r>
    </w:p>
    <w:p>
      <w:pPr>
        <w:spacing w:after="0" w:line="199"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20"/>
          <w:szCs w:val="20"/>
          <w:color w:val="1E1E1E"/>
        </w:rPr>
        <w:t>Cash paid for income taxes, net of refunds received by jurisdiction pursuant to the disclosure requirements of ASU 2023-09,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00" w:type="dxa"/>
            <w:vAlign w:val="bottom"/>
          </w:tcPr>
          <w:p>
            <w:pPr>
              <w:spacing w:after="0"/>
              <w:rPr>
                <w:sz w:val="17"/>
                <w:szCs w:val="17"/>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r>
      <w:tr>
        <w:trPr>
          <w:trHeight w:val="193"/>
        </w:trPr>
        <w:tc>
          <w:tcPr>
            <w:tcW w:w="8800" w:type="dxa"/>
            <w:vAlign w:val="bottom"/>
            <w:tcBorders>
              <w:bottom w:val="single" w:sz="8" w:color="E1E1E1"/>
            </w:tcBorders>
          </w:tcPr>
          <w:p>
            <w:pPr>
              <w:spacing w:after="0"/>
              <w:rPr>
                <w:sz w:val="16"/>
                <w:szCs w:val="16"/>
                <w:color w:val="auto"/>
              </w:rPr>
            </w:pPr>
          </w:p>
        </w:tc>
        <w:tc>
          <w:tcPr>
            <w:tcW w:w="440" w:type="dxa"/>
            <w:vAlign w:val="bottom"/>
            <w:tcBorders>
              <w:top w:val="single" w:sz="8" w:color="1E1E1E"/>
              <w:bottom w:val="single" w:sz="8" w:color="1E1E1E"/>
            </w:tcBorders>
          </w:tcPr>
          <w:p>
            <w:pPr>
              <w:spacing w:after="0"/>
              <w:rPr>
                <w:sz w:val="16"/>
                <w:szCs w:val="16"/>
                <w:color w:val="auto"/>
              </w:rPr>
            </w:pPr>
          </w:p>
        </w:tc>
        <w:tc>
          <w:tcPr>
            <w:tcW w:w="1460" w:type="dxa"/>
            <w:vAlign w:val="bottom"/>
            <w:tcBorders>
              <w:top w:val="single" w:sz="8" w:color="1E1E1E"/>
              <w:bottom w:val="single" w:sz="8" w:color="1E1E1E"/>
            </w:tcBorders>
          </w:tcPr>
          <w:p>
            <w:pPr>
              <w:jc w:val="right"/>
              <w:ind w:right="7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1E1E1"/>
            </w:tcBorders>
          </w:tcPr>
          <w:p>
            <w:pPr>
              <w:spacing w:after="0"/>
              <w:rPr>
                <w:sz w:val="16"/>
                <w:szCs w:val="16"/>
                <w:color w:val="auto"/>
              </w:rPr>
            </w:pPr>
          </w:p>
        </w:tc>
      </w:tr>
      <w:tr>
        <w:trPr>
          <w:trHeight w:val="239"/>
        </w:trPr>
        <w:tc>
          <w:tcPr>
            <w:tcW w:w="88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Federal</w:t>
            </w:r>
          </w:p>
        </w:tc>
        <w:tc>
          <w:tcPr>
            <w:tcW w:w="440" w:type="dxa"/>
            <w:vAlign w:val="bottom"/>
            <w:shd w:val="clear" w:color="auto" w:fill="E1E1E1"/>
          </w:tcPr>
          <w:p>
            <w:pPr>
              <w:jc w:val="right"/>
              <w:ind w:right="247"/>
              <w:spacing w:after="0"/>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107.4</w:t>
            </w:r>
          </w:p>
        </w:tc>
        <w:tc>
          <w:tcPr>
            <w:tcW w:w="100" w:type="dxa"/>
            <w:vAlign w:val="bottom"/>
            <w:shd w:val="clear" w:color="auto" w:fill="E1E1E1"/>
          </w:tcPr>
          <w:p>
            <w:pPr>
              <w:spacing w:after="0"/>
              <w:rPr>
                <w:sz w:val="20"/>
                <w:szCs w:val="20"/>
                <w:color w:val="auto"/>
              </w:rPr>
            </w:pPr>
          </w:p>
        </w:tc>
      </w:tr>
      <w:tr>
        <w:trPr>
          <w:trHeight w:val="244"/>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1E1E1E"/>
              </w:rPr>
              <w:t>State</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22.6</w:t>
            </w:r>
          </w:p>
        </w:tc>
        <w:tc>
          <w:tcPr>
            <w:tcW w:w="100" w:type="dxa"/>
            <w:vAlign w:val="bottom"/>
          </w:tcPr>
          <w:p>
            <w:pPr>
              <w:spacing w:after="0"/>
              <w:rPr>
                <w:sz w:val="21"/>
                <w:szCs w:val="21"/>
                <w:color w:val="auto"/>
              </w:rPr>
            </w:pPr>
          </w:p>
        </w:tc>
      </w:tr>
      <w:tr>
        <w:trPr>
          <w:trHeight w:val="244"/>
        </w:trPr>
        <w:tc>
          <w:tcPr>
            <w:tcW w:w="88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Foreign:</w:t>
            </w:r>
          </w:p>
        </w:tc>
        <w:tc>
          <w:tcPr>
            <w:tcW w:w="440" w:type="dxa"/>
            <w:vAlign w:val="bottom"/>
            <w:shd w:val="clear" w:color="auto" w:fill="E1E1E1"/>
          </w:tcPr>
          <w:p>
            <w:pPr>
              <w:spacing w:after="0"/>
              <w:rPr>
                <w:sz w:val="21"/>
                <w:szCs w:val="21"/>
                <w:color w:val="auto"/>
              </w:rPr>
            </w:pPr>
          </w:p>
        </w:tc>
        <w:tc>
          <w:tcPr>
            <w:tcW w:w="146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r>
      <w:tr>
        <w:trPr>
          <w:trHeight w:val="244"/>
        </w:trPr>
        <w:tc>
          <w:tcPr>
            <w:tcW w:w="88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Mexico</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18.0</w:t>
            </w:r>
          </w:p>
        </w:tc>
        <w:tc>
          <w:tcPr>
            <w:tcW w:w="100" w:type="dxa"/>
            <w:vAlign w:val="bottom"/>
          </w:tcPr>
          <w:p>
            <w:pPr>
              <w:spacing w:after="0"/>
              <w:rPr>
                <w:sz w:val="21"/>
                <w:szCs w:val="21"/>
                <w:color w:val="auto"/>
              </w:rPr>
            </w:pPr>
          </w:p>
        </w:tc>
      </w:tr>
      <w:tr>
        <w:trPr>
          <w:trHeight w:val="244"/>
        </w:trPr>
        <w:tc>
          <w:tcPr>
            <w:tcW w:w="88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United Kingdom</w:t>
            </w:r>
          </w:p>
        </w:tc>
        <w:tc>
          <w:tcPr>
            <w:tcW w:w="440" w:type="dxa"/>
            <w:vAlign w:val="bottom"/>
            <w:shd w:val="clear" w:color="auto" w:fill="E1E1E1"/>
          </w:tcPr>
          <w:p>
            <w:pPr>
              <w:spacing w:after="0"/>
              <w:rPr>
                <w:sz w:val="21"/>
                <w:szCs w:val="21"/>
                <w:color w:val="auto"/>
              </w:rPr>
            </w:pPr>
          </w:p>
        </w:tc>
        <w:tc>
          <w:tcPr>
            <w:tcW w:w="14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10.4</w:t>
            </w:r>
          </w:p>
        </w:tc>
        <w:tc>
          <w:tcPr>
            <w:tcW w:w="100" w:type="dxa"/>
            <w:vAlign w:val="bottom"/>
            <w:shd w:val="clear" w:color="auto" w:fill="E1E1E1"/>
          </w:tcPr>
          <w:p>
            <w:pPr>
              <w:spacing w:after="0"/>
              <w:rPr>
                <w:sz w:val="21"/>
                <w:szCs w:val="21"/>
                <w:color w:val="auto"/>
              </w:rPr>
            </w:pPr>
          </w:p>
        </w:tc>
      </w:tr>
      <w:tr>
        <w:trPr>
          <w:trHeight w:val="244"/>
        </w:trPr>
        <w:tc>
          <w:tcPr>
            <w:tcW w:w="8800" w:type="dxa"/>
            <w:vAlign w:val="bottom"/>
            <w:tcBorders>
              <w:bottom w:val="single" w:sz="8" w:color="E1E1E1"/>
            </w:tcBorders>
          </w:tcPr>
          <w:p>
            <w:pPr>
              <w:ind w:left="100"/>
              <w:spacing w:after="0"/>
              <w:rPr>
                <w:sz w:val="20"/>
                <w:szCs w:val="20"/>
                <w:color w:val="auto"/>
              </w:rPr>
            </w:pPr>
            <w:r>
              <w:rPr>
                <w:rFonts w:ascii="Times New Roman" w:cs="Times New Roman" w:eastAsia="Times New Roman" w:hAnsi="Times New Roman"/>
                <w:sz w:val="20"/>
                <w:szCs w:val="20"/>
                <w:color w:val="1E1E1E"/>
              </w:rPr>
              <w:t>Other</w:t>
            </w:r>
          </w:p>
        </w:tc>
        <w:tc>
          <w:tcPr>
            <w:tcW w:w="440" w:type="dxa"/>
            <w:vAlign w:val="bottom"/>
            <w:tcBorders>
              <w:bottom w:val="single" w:sz="8" w:color="1E1E1E"/>
            </w:tcBorders>
          </w:tcPr>
          <w:p>
            <w:pPr>
              <w:spacing w:after="0"/>
              <w:rPr>
                <w:sz w:val="21"/>
                <w:szCs w:val="21"/>
                <w:color w:val="auto"/>
              </w:rPr>
            </w:pPr>
          </w:p>
        </w:tc>
        <w:tc>
          <w:tcPr>
            <w:tcW w:w="14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46.2</w:t>
            </w:r>
          </w:p>
        </w:tc>
        <w:tc>
          <w:tcPr>
            <w:tcW w:w="100" w:type="dxa"/>
            <w:vAlign w:val="bottom"/>
            <w:tcBorders>
              <w:bottom w:val="single" w:sz="8" w:color="E1E1E1"/>
            </w:tcBorders>
          </w:tcPr>
          <w:p>
            <w:pPr>
              <w:spacing w:after="0"/>
              <w:rPr>
                <w:sz w:val="21"/>
                <w:szCs w:val="21"/>
                <w:color w:val="auto"/>
              </w:rPr>
            </w:pPr>
          </w:p>
        </w:tc>
      </w:tr>
      <w:tr>
        <w:trPr>
          <w:trHeight w:val="239"/>
        </w:trPr>
        <w:tc>
          <w:tcPr>
            <w:tcW w:w="8800" w:type="dxa"/>
            <w:vAlign w:val="bottom"/>
            <w:shd w:val="clear" w:color="auto" w:fill="E1E1E1"/>
          </w:tcPr>
          <w:p>
            <w:pPr>
              <w:ind w:left="200"/>
              <w:spacing w:after="0"/>
              <w:rPr>
                <w:sz w:val="20"/>
                <w:szCs w:val="20"/>
                <w:color w:val="auto"/>
              </w:rPr>
            </w:pPr>
            <w:r>
              <w:rPr>
                <w:rFonts w:ascii="Times New Roman" w:cs="Times New Roman" w:eastAsia="Times New Roman" w:hAnsi="Times New Roman"/>
                <w:sz w:val="20"/>
                <w:szCs w:val="20"/>
                <w:color w:val="1E1E1E"/>
              </w:rPr>
              <w:t>Cash paid for income taxes, net of refunds received</w:t>
            </w:r>
          </w:p>
        </w:tc>
        <w:tc>
          <w:tcPr>
            <w:tcW w:w="440" w:type="dxa"/>
            <w:vAlign w:val="bottom"/>
            <w:tcBorders>
              <w:bottom w:val="single" w:sz="8" w:color="1E1E1E"/>
            </w:tcBorders>
            <w:shd w:val="clear" w:color="auto" w:fill="E1E1E1"/>
          </w:tcPr>
          <w:p>
            <w:pPr>
              <w:jc w:val="right"/>
              <w:ind w:right="247"/>
              <w:spacing w:after="0"/>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204.6</w:t>
            </w:r>
          </w:p>
        </w:tc>
        <w:tc>
          <w:tcPr>
            <w:tcW w:w="100" w:type="dxa"/>
            <w:vAlign w:val="bottom"/>
            <w:shd w:val="clear" w:color="auto" w:fill="E1E1E1"/>
          </w:tcPr>
          <w:p>
            <w:pPr>
              <w:spacing w:after="0"/>
              <w:rPr>
                <w:sz w:val="20"/>
                <w:szCs w:val="20"/>
                <w:color w:val="auto"/>
              </w:rPr>
            </w:pPr>
          </w:p>
        </w:tc>
      </w:tr>
      <w:tr>
        <w:trPr>
          <w:trHeight w:val="20"/>
        </w:trPr>
        <w:tc>
          <w:tcPr>
            <w:tcW w:w="8800" w:type="dxa"/>
            <w:vAlign w:val="bottom"/>
          </w:tcPr>
          <w:p>
            <w:pPr>
              <w:spacing w:after="0" w:line="20" w:lineRule="exact"/>
              <w:rPr>
                <w:sz w:val="1"/>
                <w:szCs w:val="1"/>
                <w:color w:val="auto"/>
              </w:rPr>
            </w:pPr>
          </w:p>
        </w:tc>
        <w:tc>
          <w:tcPr>
            <w:tcW w:w="440" w:type="dxa"/>
            <w:vAlign w:val="bottom"/>
            <w:tcBorders>
              <w:bottom w:val="single" w:sz="8" w:color="1E1E1E"/>
            </w:tcBorders>
          </w:tcPr>
          <w:p>
            <w:pPr>
              <w:spacing w:after="0" w:line="20" w:lineRule="exact"/>
              <w:rPr>
                <w:sz w:val="1"/>
                <w:szCs w:val="1"/>
                <w:color w:val="auto"/>
              </w:rPr>
            </w:pPr>
          </w:p>
        </w:tc>
        <w:tc>
          <w:tcPr>
            <w:tcW w:w="14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89</w:t>
      </w:r>
    </w:p>
    <w:p>
      <w:pPr>
        <w:sectPr>
          <w:pgSz w:w="11880" w:h="15480" w:orient="portrait"/>
          <w:cols w:equalWidth="0" w:num="1">
            <w:col w:w="10800"/>
          </w:cols>
          <w:pgMar w:left="540" w:top="515" w:right="54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1E1E1E"/>
        </w:rPr>
        <w:t>The components of deferred income tax assets and liabilities and the classification of deferred tax balances on the balance sheet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00" w:type="dxa"/>
            <w:vAlign w:val="bottom"/>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760" w:type="dxa"/>
            <w:vAlign w:val="bottom"/>
            <w:tcBorders>
              <w:bottom w:val="single" w:sz="8" w:color="1E1E1E"/>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96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00" w:type="dxa"/>
            <w:vAlign w:val="bottom"/>
            <w:tcBorders>
              <w:bottom w:val="single" w:sz="8" w:color="E1E1E1"/>
            </w:tcBorders>
          </w:tcPr>
          <w:p>
            <w:pPr>
              <w:spacing w:after="0"/>
              <w:rPr>
                <w:sz w:val="16"/>
                <w:szCs w:val="16"/>
                <w:color w:val="auto"/>
              </w:rPr>
            </w:pPr>
          </w:p>
        </w:tc>
        <w:tc>
          <w:tcPr>
            <w:tcW w:w="300" w:type="dxa"/>
            <w:vAlign w:val="bottom"/>
            <w:tcBorders>
              <w:bottom w:val="single" w:sz="8" w:color="1E1E1E"/>
            </w:tcBorders>
          </w:tcPr>
          <w:p>
            <w:pPr>
              <w:spacing w:after="0"/>
              <w:rPr>
                <w:sz w:val="16"/>
                <w:szCs w:val="16"/>
                <w:color w:val="auto"/>
              </w:rPr>
            </w:pPr>
          </w:p>
        </w:tc>
        <w:tc>
          <w:tcPr>
            <w:tcW w:w="1040" w:type="dxa"/>
            <w:vAlign w:val="bottom"/>
            <w:tcBorders>
              <w:bottom w:val="single" w:sz="8" w:color="1E1E1E"/>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20" w:type="dxa"/>
            <w:vAlign w:val="bottom"/>
            <w:tcBorders>
              <w:bottom w:val="single" w:sz="8" w:color="E1E1E1"/>
            </w:tcBorders>
          </w:tcPr>
          <w:p>
            <w:pPr>
              <w:spacing w:after="0"/>
              <w:rPr>
                <w:sz w:val="16"/>
                <w:szCs w:val="16"/>
                <w:color w:val="auto"/>
              </w:rPr>
            </w:pPr>
          </w:p>
        </w:tc>
        <w:tc>
          <w:tcPr>
            <w:tcW w:w="400" w:type="dxa"/>
            <w:vAlign w:val="bottom"/>
            <w:tcBorders>
              <w:bottom w:val="single" w:sz="8" w:color="1E1E1E"/>
            </w:tcBorders>
          </w:tcPr>
          <w:p>
            <w:pPr>
              <w:spacing w:after="0"/>
              <w:rPr>
                <w:sz w:val="16"/>
                <w:szCs w:val="16"/>
                <w:color w:val="auto"/>
              </w:rPr>
            </w:pPr>
          </w:p>
        </w:tc>
        <w:tc>
          <w:tcPr>
            <w:tcW w:w="960" w:type="dxa"/>
            <w:vAlign w:val="bottom"/>
            <w:tcBorders>
              <w:bottom w:val="single" w:sz="8" w:color="1E1E1E"/>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bottom w:val="single" w:sz="8" w:color="E1E1E1"/>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Deferred tax assets:</w:t>
            </w:r>
          </w:p>
        </w:tc>
        <w:tc>
          <w:tcPr>
            <w:tcW w:w="300" w:type="dxa"/>
            <w:vAlign w:val="bottom"/>
            <w:shd w:val="clear" w:color="auto" w:fill="E1E1E1"/>
          </w:tcPr>
          <w:p>
            <w:pPr>
              <w:spacing w:after="0"/>
              <w:rPr>
                <w:sz w:val="20"/>
                <w:szCs w:val="20"/>
                <w:color w:val="auto"/>
              </w:rPr>
            </w:pPr>
          </w:p>
        </w:tc>
        <w:tc>
          <w:tcPr>
            <w:tcW w:w="1040" w:type="dxa"/>
            <w:vAlign w:val="bottom"/>
            <w:shd w:val="clear" w:color="auto" w:fill="E1E1E1"/>
          </w:tcPr>
          <w:p>
            <w:pPr>
              <w:spacing w:after="0"/>
              <w:rPr>
                <w:sz w:val="20"/>
                <w:szCs w:val="20"/>
                <w:color w:val="auto"/>
              </w:rPr>
            </w:pPr>
          </w:p>
        </w:tc>
        <w:tc>
          <w:tcPr>
            <w:tcW w:w="320" w:type="dxa"/>
            <w:vAlign w:val="bottom"/>
            <w:shd w:val="clear" w:color="auto" w:fill="E1E1E1"/>
          </w:tcPr>
          <w:p>
            <w:pPr>
              <w:spacing w:after="0"/>
              <w:rPr>
                <w:sz w:val="20"/>
                <w:szCs w:val="20"/>
                <w:color w:val="auto"/>
              </w:rPr>
            </w:pPr>
          </w:p>
        </w:tc>
        <w:tc>
          <w:tcPr>
            <w:tcW w:w="400" w:type="dxa"/>
            <w:vAlign w:val="bottom"/>
            <w:shd w:val="clear" w:color="auto" w:fill="E1E1E1"/>
          </w:tcPr>
          <w:p>
            <w:pPr>
              <w:spacing w:after="0"/>
              <w:rPr>
                <w:sz w:val="20"/>
                <w:szCs w:val="20"/>
                <w:color w:val="auto"/>
              </w:rPr>
            </w:pPr>
          </w:p>
        </w:tc>
        <w:tc>
          <w:tcPr>
            <w:tcW w:w="96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Accounts receivable, inventory and warranty reserves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83.0</w:t>
            </w:r>
          </w:p>
        </w:tc>
        <w:tc>
          <w:tcPr>
            <w:tcW w:w="320" w:type="dxa"/>
            <w:vAlign w:val="bottom"/>
          </w:tcPr>
          <w:p>
            <w:pPr>
              <w:spacing w:after="0"/>
              <w:rPr>
                <w:sz w:val="21"/>
                <w:szCs w:val="21"/>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Property, plant and equipment</w:t>
            </w:r>
          </w:p>
        </w:tc>
        <w:tc>
          <w:tcPr>
            <w:tcW w:w="3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8.3</w:t>
            </w:r>
          </w:p>
        </w:tc>
        <w:tc>
          <w:tcPr>
            <w:tcW w:w="320" w:type="dxa"/>
            <w:vAlign w:val="bottom"/>
            <w:shd w:val="clear" w:color="auto" w:fill="E1E1E1"/>
          </w:tcPr>
          <w:p>
            <w:pPr>
              <w:spacing w:after="0"/>
              <w:rPr>
                <w:sz w:val="21"/>
                <w:szCs w:val="21"/>
                <w:color w:val="auto"/>
              </w:rPr>
            </w:pPr>
          </w:p>
        </w:tc>
        <w:tc>
          <w:tcPr>
            <w:tcW w:w="40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Employee benefits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Foreign net operating loss and tax credit carryforwards</w:t>
            </w:r>
          </w:p>
        </w:tc>
        <w:tc>
          <w:tcPr>
            <w:tcW w:w="3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320" w:type="dxa"/>
            <w:vAlign w:val="bottom"/>
            <w:shd w:val="clear" w:color="auto" w:fill="E1E1E1"/>
          </w:tcPr>
          <w:p>
            <w:pPr>
              <w:spacing w:after="0"/>
              <w:rPr>
                <w:sz w:val="21"/>
                <w:szCs w:val="21"/>
                <w:color w:val="auto"/>
              </w:rPr>
            </w:pPr>
          </w:p>
        </w:tc>
        <w:tc>
          <w:tcPr>
            <w:tcW w:w="40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27.3</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Federal net operating loss and tax credit carryforwards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State net operating loss and tax credit carryforwards</w:t>
            </w:r>
          </w:p>
        </w:tc>
        <w:tc>
          <w:tcPr>
            <w:tcW w:w="3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93.9</w:t>
            </w:r>
          </w:p>
        </w:tc>
        <w:tc>
          <w:tcPr>
            <w:tcW w:w="320" w:type="dxa"/>
            <w:vAlign w:val="bottom"/>
            <w:shd w:val="clear" w:color="auto" w:fill="E1E1E1"/>
          </w:tcPr>
          <w:p>
            <w:pPr>
              <w:spacing w:after="0"/>
              <w:rPr>
                <w:sz w:val="21"/>
                <w:szCs w:val="21"/>
                <w:color w:val="auto"/>
              </w:rPr>
            </w:pPr>
          </w:p>
        </w:tc>
        <w:tc>
          <w:tcPr>
            <w:tcW w:w="40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80.5</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Interest limitation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236.7</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Capitalized research and development costs</w:t>
            </w:r>
          </w:p>
        </w:tc>
        <w:tc>
          <w:tcPr>
            <w:tcW w:w="30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144.1</w:t>
            </w:r>
          </w:p>
        </w:tc>
        <w:tc>
          <w:tcPr>
            <w:tcW w:w="320" w:type="dxa"/>
            <w:vAlign w:val="bottom"/>
            <w:shd w:val="clear" w:color="auto" w:fill="E1E1E1"/>
          </w:tcPr>
          <w:p>
            <w:pPr>
              <w:spacing w:after="0"/>
              <w:rPr>
                <w:sz w:val="21"/>
                <w:szCs w:val="21"/>
                <w:color w:val="auto"/>
              </w:rPr>
            </w:pPr>
          </w:p>
        </w:tc>
        <w:tc>
          <w:tcPr>
            <w:tcW w:w="400" w:type="dxa"/>
            <w:vAlign w:val="bottom"/>
            <w:shd w:val="clear" w:color="auto" w:fill="E1E1E1"/>
          </w:tcPr>
          <w:p>
            <w:pPr>
              <w:spacing w:after="0"/>
              <w:rPr>
                <w:sz w:val="21"/>
                <w:szCs w:val="21"/>
                <w:color w:val="auto"/>
              </w:rPr>
            </w:pP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371.6</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tcPr>
          <w:p>
            <w:pPr>
              <w:ind w:left="100"/>
              <w:spacing w:after="0" w:line="243" w:lineRule="exact"/>
              <w:rPr>
                <w:sz w:val="20"/>
                <w:szCs w:val="20"/>
                <w:color w:val="auto"/>
              </w:rPr>
            </w:pPr>
            <w:r>
              <w:rPr>
                <w:rFonts w:ascii="Times New Roman" w:cs="Times New Roman" w:eastAsia="Times New Roman" w:hAnsi="Times New Roman"/>
                <w:sz w:val="20"/>
                <w:szCs w:val="20"/>
                <w:color w:val="1E1E1E"/>
              </w:rPr>
              <w:t xml:space="preserve">Basis difference in U.S. subsidiaries </w:t>
            </w:r>
            <w:r>
              <w:rPr>
                <w:rFonts w:ascii="Times New Roman" w:cs="Times New Roman" w:eastAsia="Times New Roman" w:hAnsi="Times New Roman"/>
                <w:sz w:val="26"/>
                <w:szCs w:val="26"/>
                <w:color w:val="1E1E1E"/>
                <w:vertAlign w:val="superscript"/>
              </w:rPr>
              <w:t>(1)</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1,337.9</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7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Other</w:t>
            </w:r>
          </w:p>
        </w:tc>
        <w:tc>
          <w:tcPr>
            <w:tcW w:w="300" w:type="dxa"/>
            <w:vAlign w:val="bottom"/>
            <w:tcBorders>
              <w:bottom w:val="single" w:sz="8" w:color="1E1E1E"/>
            </w:tcBorders>
            <w:shd w:val="clear" w:color="auto" w:fill="E1E1E1"/>
          </w:tcPr>
          <w:p>
            <w:pPr>
              <w:spacing w:after="0"/>
              <w:rPr>
                <w:sz w:val="21"/>
                <w:szCs w:val="21"/>
                <w:color w:val="auto"/>
              </w:rPr>
            </w:pPr>
          </w:p>
        </w:tc>
        <w:tc>
          <w:tcPr>
            <w:tcW w:w="10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52.9</w:t>
            </w:r>
          </w:p>
        </w:tc>
        <w:tc>
          <w:tcPr>
            <w:tcW w:w="320" w:type="dxa"/>
            <w:vAlign w:val="bottom"/>
            <w:shd w:val="clear" w:color="auto" w:fill="E1E1E1"/>
          </w:tcPr>
          <w:p>
            <w:pPr>
              <w:spacing w:after="0"/>
              <w:rPr>
                <w:sz w:val="21"/>
                <w:szCs w:val="21"/>
                <w:color w:val="auto"/>
              </w:rPr>
            </w:pPr>
          </w:p>
        </w:tc>
        <w:tc>
          <w:tcPr>
            <w:tcW w:w="400" w:type="dxa"/>
            <w:vAlign w:val="bottom"/>
            <w:tcBorders>
              <w:bottom w:val="single" w:sz="8" w:color="1E1E1E"/>
            </w:tcBorders>
            <w:shd w:val="clear" w:color="auto" w:fill="E1E1E1"/>
          </w:tcPr>
          <w:p>
            <w:pPr>
              <w:spacing w:after="0"/>
              <w:rPr>
                <w:sz w:val="21"/>
                <w:szCs w:val="21"/>
                <w:color w:val="auto"/>
              </w:rPr>
            </w:pPr>
          </w:p>
        </w:tc>
        <w:tc>
          <w:tcPr>
            <w:tcW w:w="9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76.5</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1E1E1E"/>
              </w:rPr>
              <w:t>Total deferred tax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1,977.0</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965.8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7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Valuation allowance</w:t>
            </w:r>
          </w:p>
        </w:tc>
        <w:tc>
          <w:tcPr>
            <w:tcW w:w="300" w:type="dxa"/>
            <w:vAlign w:val="bottom"/>
            <w:shd w:val="clear" w:color="auto" w:fill="E1E1E1"/>
          </w:tcPr>
          <w:p>
            <w:pPr>
              <w:spacing w:after="0"/>
              <w:rPr>
                <w:sz w:val="21"/>
                <w:szCs w:val="21"/>
                <w:color w:val="auto"/>
              </w:rPr>
            </w:pPr>
          </w:p>
        </w:tc>
        <w:tc>
          <w:tcPr>
            <w:tcW w:w="1360" w:type="dxa"/>
            <w:vAlign w:val="bottom"/>
            <w:gridSpan w:val="2"/>
            <w:shd w:val="clear" w:color="auto" w:fill="E1E1E1"/>
          </w:tcPr>
          <w:p>
            <w:pPr>
              <w:jc w:val="right"/>
              <w:ind w:right="240"/>
              <w:spacing w:after="0"/>
              <w:rPr>
                <w:sz w:val="20"/>
                <w:szCs w:val="20"/>
                <w:color w:val="auto"/>
              </w:rPr>
            </w:pPr>
            <w:r>
              <w:rPr>
                <w:rFonts w:ascii="Times New Roman" w:cs="Times New Roman" w:eastAsia="Times New Roman" w:hAnsi="Times New Roman"/>
                <w:sz w:val="20"/>
                <w:szCs w:val="20"/>
                <w:color w:val="1E1E1E"/>
              </w:rPr>
              <w:t>(97.0)</w:t>
            </w:r>
          </w:p>
        </w:tc>
        <w:tc>
          <w:tcPr>
            <w:tcW w:w="400" w:type="dxa"/>
            <w:vAlign w:val="bottom"/>
            <w:shd w:val="clear" w:color="auto" w:fill="E1E1E1"/>
          </w:tcPr>
          <w:p>
            <w:pPr>
              <w:spacing w:after="0"/>
              <w:rPr>
                <w:sz w:val="21"/>
                <w:szCs w:val="21"/>
                <w:color w:val="auto"/>
              </w:rPr>
            </w:pPr>
          </w:p>
        </w:tc>
        <w:tc>
          <w:tcPr>
            <w:tcW w:w="10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(356.8)</w:t>
            </w:r>
          </w:p>
        </w:tc>
        <w:tc>
          <w:tcPr>
            <w:tcW w:w="0" w:type="dxa"/>
            <w:vAlign w:val="bottom"/>
          </w:tcPr>
          <w:p>
            <w:pPr>
              <w:spacing w:after="0"/>
              <w:rPr>
                <w:sz w:val="1"/>
                <w:szCs w:val="1"/>
                <w:color w:val="auto"/>
              </w:rPr>
            </w:pPr>
          </w:p>
        </w:tc>
      </w:tr>
      <w:tr>
        <w:trPr>
          <w:trHeight w:val="239"/>
        </w:trPr>
        <w:tc>
          <w:tcPr>
            <w:tcW w:w="770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Total deferred tax assets, net of valuation allowance</w:t>
            </w:r>
          </w:p>
        </w:tc>
        <w:tc>
          <w:tcPr>
            <w:tcW w:w="300" w:type="dxa"/>
            <w:vAlign w:val="bottom"/>
            <w:tcBorders>
              <w:top w:val="single" w:sz="8" w:color="1E1E1E"/>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1,880.0</w:t>
            </w:r>
          </w:p>
        </w:tc>
        <w:tc>
          <w:tcPr>
            <w:tcW w:w="320" w:type="dxa"/>
            <w:vAlign w:val="bottom"/>
            <w:tcBorders>
              <w:bottom w:val="single" w:sz="8" w:color="E1E1E1"/>
            </w:tcBorders>
          </w:tcPr>
          <w:p>
            <w:pPr>
              <w:spacing w:after="0"/>
              <w:rPr>
                <w:sz w:val="20"/>
                <w:szCs w:val="20"/>
                <w:color w:val="auto"/>
              </w:rPr>
            </w:pPr>
          </w:p>
        </w:tc>
        <w:tc>
          <w:tcPr>
            <w:tcW w:w="400" w:type="dxa"/>
            <w:vAlign w:val="bottom"/>
            <w:tcBorders>
              <w:top w:val="single" w:sz="8" w:color="1E1E1E"/>
              <w:bottom w:val="single" w:sz="8" w:color="1E1E1E"/>
            </w:tcBorders>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609.0</w:t>
            </w:r>
          </w:p>
        </w:tc>
        <w:tc>
          <w:tcPr>
            <w:tcW w:w="80" w:type="dxa"/>
            <w:vAlign w:val="bottom"/>
            <w:tcBorders>
              <w:bottom w:val="single" w:sz="8" w:color="E1E1E1"/>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E1E1E1"/>
          </w:tcPr>
          <w:p>
            <w:pPr>
              <w:spacing w:after="0"/>
              <w:rPr>
                <w:sz w:val="20"/>
                <w:szCs w:val="20"/>
                <w:color w:val="auto"/>
              </w:rPr>
            </w:pPr>
          </w:p>
        </w:tc>
        <w:tc>
          <w:tcPr>
            <w:tcW w:w="300" w:type="dxa"/>
            <w:vAlign w:val="bottom"/>
            <w:shd w:val="clear" w:color="auto" w:fill="E1E1E1"/>
          </w:tcPr>
          <w:p>
            <w:pPr>
              <w:spacing w:after="0"/>
              <w:rPr>
                <w:sz w:val="20"/>
                <w:szCs w:val="20"/>
                <w:color w:val="auto"/>
              </w:rPr>
            </w:pPr>
          </w:p>
        </w:tc>
        <w:tc>
          <w:tcPr>
            <w:tcW w:w="1040" w:type="dxa"/>
            <w:vAlign w:val="bottom"/>
            <w:shd w:val="clear" w:color="auto" w:fill="E1E1E1"/>
          </w:tcPr>
          <w:p>
            <w:pPr>
              <w:spacing w:after="0"/>
              <w:rPr>
                <w:sz w:val="20"/>
                <w:szCs w:val="20"/>
                <w:color w:val="auto"/>
              </w:rPr>
            </w:pPr>
          </w:p>
        </w:tc>
        <w:tc>
          <w:tcPr>
            <w:tcW w:w="320" w:type="dxa"/>
            <w:vAlign w:val="bottom"/>
            <w:shd w:val="clear" w:color="auto" w:fill="E1E1E1"/>
          </w:tcPr>
          <w:p>
            <w:pPr>
              <w:spacing w:after="0"/>
              <w:rPr>
                <w:sz w:val="20"/>
                <w:szCs w:val="20"/>
                <w:color w:val="auto"/>
              </w:rPr>
            </w:pPr>
          </w:p>
        </w:tc>
        <w:tc>
          <w:tcPr>
            <w:tcW w:w="400" w:type="dxa"/>
            <w:vAlign w:val="bottom"/>
            <w:shd w:val="clear" w:color="auto" w:fill="E1E1E1"/>
          </w:tcPr>
          <w:p>
            <w:pPr>
              <w:spacing w:after="0"/>
              <w:rPr>
                <w:sz w:val="20"/>
                <w:szCs w:val="20"/>
                <w:color w:val="auto"/>
              </w:rPr>
            </w:pPr>
          </w:p>
        </w:tc>
        <w:tc>
          <w:tcPr>
            <w:tcW w:w="96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1E1E1E"/>
              </w:rPr>
              <w:t>Deferred tax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Intangible assets</w:t>
            </w:r>
          </w:p>
        </w:tc>
        <w:tc>
          <w:tcPr>
            <w:tcW w:w="300" w:type="dxa"/>
            <w:vAlign w:val="bottom"/>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gridSpan w:val="2"/>
            <w:shd w:val="clear" w:color="auto" w:fill="E1E1E1"/>
          </w:tcPr>
          <w:p>
            <w:pPr>
              <w:jc w:val="right"/>
              <w:ind w:right="240"/>
              <w:spacing w:after="0"/>
              <w:rPr>
                <w:sz w:val="20"/>
                <w:szCs w:val="20"/>
                <w:color w:val="auto"/>
              </w:rPr>
            </w:pPr>
            <w:r>
              <w:rPr>
                <w:rFonts w:ascii="Times New Roman" w:cs="Times New Roman" w:eastAsia="Times New Roman" w:hAnsi="Times New Roman"/>
                <w:sz w:val="20"/>
                <w:szCs w:val="20"/>
                <w:color w:val="1E1E1E"/>
              </w:rPr>
              <w:t>(176.3)</w:t>
            </w:r>
          </w:p>
        </w:tc>
        <w:tc>
          <w:tcPr>
            <w:tcW w:w="400" w:type="dxa"/>
            <w:vAlign w:val="bottom"/>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(249.8)</w:t>
            </w:r>
          </w:p>
        </w:tc>
        <w:tc>
          <w:tcPr>
            <w:tcW w:w="0" w:type="dxa"/>
            <w:vAlign w:val="bottom"/>
          </w:tcPr>
          <w:p>
            <w:pPr>
              <w:spacing w:after="0"/>
              <w:rPr>
                <w:sz w:val="1"/>
                <w:szCs w:val="1"/>
                <w:color w:val="auto"/>
              </w:rPr>
            </w:pPr>
          </w:p>
        </w:tc>
      </w:tr>
      <w:tr>
        <w:trPr>
          <w:trHeight w:val="244"/>
        </w:trPr>
        <w:tc>
          <w:tcPr>
            <w:tcW w:w="7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Undistributed foreign earnings</w:t>
            </w:r>
          </w:p>
        </w:tc>
        <w:tc>
          <w:tcPr>
            <w:tcW w:w="3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(5.0)</w:t>
            </w:r>
          </w:p>
        </w:tc>
        <w:tc>
          <w:tcPr>
            <w:tcW w:w="4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(18.6)</w:t>
            </w:r>
          </w:p>
        </w:tc>
        <w:tc>
          <w:tcPr>
            <w:tcW w:w="0" w:type="dxa"/>
            <w:vAlign w:val="bottom"/>
          </w:tcPr>
          <w:p>
            <w:pPr>
              <w:spacing w:after="0"/>
              <w:rPr>
                <w:sz w:val="1"/>
                <w:szCs w:val="1"/>
                <w:color w:val="auto"/>
              </w:rPr>
            </w:pPr>
          </w:p>
        </w:tc>
      </w:tr>
      <w:tr>
        <w:trPr>
          <w:trHeight w:val="20"/>
        </w:trPr>
        <w:tc>
          <w:tcPr>
            <w:tcW w:w="770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 deferred tax liabilities</w:t>
            </w:r>
          </w:p>
        </w:tc>
        <w:tc>
          <w:tcPr>
            <w:tcW w:w="300" w:type="dxa"/>
            <w:vAlign w:val="bottom"/>
            <w:shd w:val="clear" w:color="auto" w:fill="1E1E1E"/>
          </w:tcPr>
          <w:p>
            <w:pPr>
              <w:spacing w:after="0" w:line="20" w:lineRule="exact"/>
              <w:rPr>
                <w:sz w:val="1"/>
                <w:szCs w:val="1"/>
                <w:color w:val="auto"/>
              </w:rPr>
            </w:pPr>
          </w:p>
        </w:tc>
        <w:tc>
          <w:tcPr>
            <w:tcW w:w="1040" w:type="dxa"/>
            <w:vAlign w:val="bottom"/>
            <w:shd w:val="clear" w:color="auto" w:fill="1E1E1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1E1E1E"/>
          </w:tcPr>
          <w:p>
            <w:pPr>
              <w:spacing w:after="0" w:line="20" w:lineRule="exact"/>
              <w:rPr>
                <w:sz w:val="1"/>
                <w:szCs w:val="1"/>
                <w:color w:val="auto"/>
              </w:rPr>
            </w:pPr>
          </w:p>
        </w:tc>
        <w:tc>
          <w:tcPr>
            <w:tcW w:w="96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700" w:type="dxa"/>
            <w:vAlign w:val="bottom"/>
            <w:vMerge w:val="continue"/>
            <w:shd w:val="clear" w:color="auto" w:fill="E1E1E1"/>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(181.3)</w:t>
            </w:r>
          </w:p>
        </w:tc>
        <w:tc>
          <w:tcPr>
            <w:tcW w:w="4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(268.4)</w:t>
            </w:r>
          </w:p>
        </w:tc>
        <w:tc>
          <w:tcPr>
            <w:tcW w:w="0" w:type="dxa"/>
            <w:vAlign w:val="bottom"/>
          </w:tcPr>
          <w:p>
            <w:pPr>
              <w:spacing w:after="0"/>
              <w:rPr>
                <w:sz w:val="1"/>
                <w:szCs w:val="1"/>
                <w:color w:val="auto"/>
              </w:rPr>
            </w:pPr>
          </w:p>
        </w:tc>
      </w:tr>
      <w:tr>
        <w:trPr>
          <w:trHeight w:val="279"/>
        </w:trPr>
        <w:tc>
          <w:tcPr>
            <w:tcW w:w="770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Net deferred tax asset</w:t>
            </w:r>
          </w:p>
        </w:tc>
        <w:tc>
          <w:tcPr>
            <w:tcW w:w="300" w:type="dxa"/>
            <w:vAlign w:val="bottom"/>
            <w:tcBorders>
              <w:top w:val="single" w:sz="8" w:color="1E1E1E"/>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1,698.7</w:t>
            </w:r>
          </w:p>
        </w:tc>
        <w:tc>
          <w:tcPr>
            <w:tcW w:w="320" w:type="dxa"/>
            <w:vAlign w:val="bottom"/>
            <w:tcBorders>
              <w:bottom w:val="single" w:sz="8" w:color="E1E1E1"/>
            </w:tcBorders>
          </w:tcPr>
          <w:p>
            <w:pPr>
              <w:spacing w:after="0"/>
              <w:rPr>
                <w:sz w:val="24"/>
                <w:szCs w:val="24"/>
                <w:color w:val="auto"/>
              </w:rPr>
            </w:pPr>
          </w:p>
        </w:tc>
        <w:tc>
          <w:tcPr>
            <w:tcW w:w="400" w:type="dxa"/>
            <w:vAlign w:val="bottom"/>
            <w:tcBorders>
              <w:top w:val="single" w:sz="8" w:color="1E1E1E"/>
              <w:bottom w:val="single" w:sz="8" w:color="1E1E1E"/>
            </w:tcBorders>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340.6</w:t>
            </w:r>
          </w:p>
        </w:tc>
        <w:tc>
          <w:tcPr>
            <w:tcW w:w="80" w:type="dxa"/>
            <w:vAlign w:val="bottom"/>
            <w:tcBorders>
              <w:bottom w:val="single" w:sz="8" w:color="E1E1E1"/>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E1E1E1"/>
          </w:tcPr>
          <w:p>
            <w:pPr>
              <w:spacing w:after="0"/>
              <w:rPr>
                <w:sz w:val="19"/>
                <w:szCs w:val="19"/>
                <w:color w:val="auto"/>
              </w:rPr>
            </w:pPr>
          </w:p>
        </w:tc>
        <w:tc>
          <w:tcPr>
            <w:tcW w:w="300" w:type="dxa"/>
            <w:vAlign w:val="bottom"/>
            <w:shd w:val="clear" w:color="auto" w:fill="E1E1E1"/>
          </w:tcPr>
          <w:p>
            <w:pPr>
              <w:spacing w:after="0"/>
              <w:rPr>
                <w:sz w:val="19"/>
                <w:szCs w:val="19"/>
                <w:color w:val="auto"/>
              </w:rPr>
            </w:pPr>
          </w:p>
        </w:tc>
        <w:tc>
          <w:tcPr>
            <w:tcW w:w="1040" w:type="dxa"/>
            <w:vAlign w:val="bottom"/>
            <w:shd w:val="clear" w:color="auto" w:fill="E1E1E1"/>
          </w:tcPr>
          <w:p>
            <w:pPr>
              <w:spacing w:after="0"/>
              <w:rPr>
                <w:sz w:val="19"/>
                <w:szCs w:val="19"/>
                <w:color w:val="auto"/>
              </w:rPr>
            </w:pPr>
          </w:p>
        </w:tc>
        <w:tc>
          <w:tcPr>
            <w:tcW w:w="320" w:type="dxa"/>
            <w:vAlign w:val="bottom"/>
            <w:shd w:val="clear" w:color="auto" w:fill="E1E1E1"/>
          </w:tcPr>
          <w:p>
            <w:pPr>
              <w:spacing w:after="0"/>
              <w:rPr>
                <w:sz w:val="19"/>
                <w:szCs w:val="19"/>
                <w:color w:val="auto"/>
              </w:rPr>
            </w:pPr>
          </w:p>
        </w:tc>
        <w:tc>
          <w:tcPr>
            <w:tcW w:w="400" w:type="dxa"/>
            <w:vAlign w:val="bottom"/>
            <w:shd w:val="clear" w:color="auto" w:fill="E1E1E1"/>
          </w:tcPr>
          <w:p>
            <w:pPr>
              <w:spacing w:after="0"/>
              <w:rPr>
                <w:sz w:val="19"/>
                <w:szCs w:val="19"/>
                <w:color w:val="auto"/>
              </w:rPr>
            </w:pPr>
          </w:p>
        </w:tc>
        <w:tc>
          <w:tcPr>
            <w:tcW w:w="96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1E1E1E"/>
              </w:rPr>
              <w:t>Deferred taxes recognized on the balance sheet: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Noncurrent deferred tax asset</w:t>
            </w:r>
          </w:p>
        </w:tc>
        <w:tc>
          <w:tcPr>
            <w:tcW w:w="300" w:type="dxa"/>
            <w:vAlign w:val="bottom"/>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1,765.9</w:t>
            </w:r>
          </w:p>
        </w:tc>
        <w:tc>
          <w:tcPr>
            <w:tcW w:w="320" w:type="dxa"/>
            <w:vAlign w:val="bottom"/>
            <w:shd w:val="clear" w:color="auto" w:fill="E1E1E1"/>
          </w:tcPr>
          <w:p>
            <w:pPr>
              <w:spacing w:after="0"/>
              <w:rPr>
                <w:sz w:val="21"/>
                <w:szCs w:val="21"/>
                <w:color w:val="auto"/>
              </w:rPr>
            </w:pPr>
          </w:p>
        </w:tc>
        <w:tc>
          <w:tcPr>
            <w:tcW w:w="400" w:type="dxa"/>
            <w:vAlign w:val="bottom"/>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431.5</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Noncurrent deferred tax liability</w:t>
            </w:r>
          </w:p>
        </w:tc>
        <w:tc>
          <w:tcPr>
            <w:tcW w:w="3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(67.2)</w:t>
            </w:r>
          </w:p>
        </w:tc>
        <w:tc>
          <w:tcPr>
            <w:tcW w:w="4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(90.9)</w:t>
            </w:r>
          </w:p>
        </w:tc>
        <w:tc>
          <w:tcPr>
            <w:tcW w:w="0" w:type="dxa"/>
            <w:vAlign w:val="bottom"/>
          </w:tcPr>
          <w:p>
            <w:pPr>
              <w:spacing w:after="0"/>
              <w:rPr>
                <w:sz w:val="1"/>
                <w:szCs w:val="1"/>
                <w:color w:val="auto"/>
              </w:rPr>
            </w:pPr>
          </w:p>
        </w:tc>
      </w:tr>
      <w:tr>
        <w:trPr>
          <w:trHeight w:val="239"/>
        </w:trPr>
        <w:tc>
          <w:tcPr>
            <w:tcW w:w="77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deferred tax asset</w:t>
            </w:r>
          </w:p>
        </w:tc>
        <w:tc>
          <w:tcPr>
            <w:tcW w:w="300" w:type="dxa"/>
            <w:vAlign w:val="bottom"/>
            <w:tcBorders>
              <w:top w:val="single" w:sz="8" w:color="1E1E1E"/>
              <w:bottom w:val="single" w:sz="8" w:color="1E1E1E"/>
            </w:tcBorders>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1,698.7</w:t>
            </w:r>
          </w:p>
        </w:tc>
        <w:tc>
          <w:tcPr>
            <w:tcW w:w="320" w:type="dxa"/>
            <w:vAlign w:val="bottom"/>
            <w:tcBorders>
              <w:top w:val="single" w:sz="8" w:color="E1E1E1"/>
            </w:tcBorders>
            <w:shd w:val="clear" w:color="auto" w:fill="E1E1E1"/>
          </w:tcPr>
          <w:p>
            <w:pPr>
              <w:spacing w:after="0"/>
              <w:rPr>
                <w:sz w:val="20"/>
                <w:szCs w:val="20"/>
                <w:color w:val="auto"/>
              </w:rPr>
            </w:pPr>
          </w:p>
        </w:tc>
        <w:tc>
          <w:tcPr>
            <w:tcW w:w="400" w:type="dxa"/>
            <w:vAlign w:val="bottom"/>
            <w:tcBorders>
              <w:top w:val="single" w:sz="8" w:color="1E1E1E"/>
              <w:bottom w:val="single" w:sz="8" w:color="1E1E1E"/>
            </w:tcBorders>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340.6</w:t>
            </w: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-1169670</wp:posOffset>
            </wp:positionV>
            <wp:extent cx="1918970" cy="164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a:extLst>
                        <a:ext uri="{28A0092B-C50C-407E-A947-70E740481C1C}"/>
                      </a:extLst>
                    </a:blip>
                    <a:srcRect/>
                    <a:stretch>
                      <a:fillRect/>
                    </a:stretch>
                  </pic:blipFill>
                  <pic:spPr bwMode="auto">
                    <a:xfrm>
                      <a:off x="0" y="0"/>
                      <a:ext cx="1918970" cy="164465"/>
                    </a:xfrm>
                    <a:prstGeom prst="rect">
                      <a:avLst/>
                    </a:prstGeom>
                    <a:noFill/>
                  </pic:spPr>
                </pic:pic>
              </a:graphicData>
            </a:graphic>
          </wp:anchor>
        </w:drawing>
      </w:r>
    </w:p>
    <w:p>
      <w:pPr>
        <w:spacing w:after="0" w:line="80" w:lineRule="exact"/>
        <w:rPr>
          <w:sz w:val="20"/>
          <w:szCs w:val="20"/>
          <w:color w:val="auto"/>
        </w:rPr>
      </w:pPr>
    </w:p>
    <w:p>
      <w:pPr>
        <w:ind w:left="480" w:right="20" w:hanging="480"/>
        <w:spacing w:after="0" w:line="246" w:lineRule="auto"/>
        <w:tabs>
          <w:tab w:leader="none" w:pos="480" w:val="left"/>
        </w:tabs>
        <w:numPr>
          <w:ilvl w:val="0"/>
          <w:numId w:val="6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deferred tax asset for the basis difference in U.S. subsidiaries as of December 31, 2025 relates to the difference between the carrying value of the net assets comprising the CCS segment classified as held for sale and the tax basis of the Company’s investment in the U.S. subsidiaries being sold. Because the basis difference was directly attributable to the CCS segment, the Company recognized the related income tax benefit within income from discontinued operations, net of income taxes, in the fourth quarter of 2025, as it was probable the associated tax benefit would be realized upon sale of the CCS segment in the first quarter of 2026. The deferred tax asset will remain with and be settled by the Company; therefore, it is classified as a deferred income tax asset on the Consolidated Balance Sheet as of December 31, 2025.</w:t>
      </w:r>
    </w:p>
    <w:p>
      <w:pPr>
        <w:spacing w:after="0" w:line="161"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1E1E1E"/>
        </w:rPr>
        <w:t>The deferred tax asset for foreign net operating loss and tax credit carryforwards as of December 31, 2025 includes foreign net operating loss carryforwards (net of federal tax effects) of $5.1 million, which have no expiration date, and foreign tax credit carryforwards (net of federal tax effects) of $1.4 million, which begin to expire in 2026. Certain of these foreign net operating loss carryforwards are subject to local restrictions limiting their utilization. Valuation allowances of $3.7 million have been established related to these foreign deferred tax assets.</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1E1E1E"/>
        </w:rPr>
        <w:t>The deferred tax asset for federal net operating loss and tax credit carryforwards as of December 31, 2025 relates to $2.2 million of net operating loss carryforwards, which begin to expire in 2032, and $1.1 million of U.S. foreign tax credit carryforwards, which begin to expire in 2029. A valuation allowance of $0.1 million has been established against these deferred tax assets.</w:t>
      </w:r>
    </w:p>
    <w:p>
      <w:pPr>
        <w:spacing w:after="0" w:line="185"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20"/>
          <w:szCs w:val="20"/>
          <w:color w:val="1E1E1E"/>
        </w:rPr>
        <w:t>The deferred tax asset for state net operating loss and tax credit carryforwards as of December 31, 2025 includes state net operating loss carryforwards (net of federal tax impact) of $35.6 million, which begin to expire in 2026, and state tax credit carryforwards (net of federal tax impact) of $58.3 million, which begin to expire in 2026. A valuation allowance of $91.0 million has been established against these and other state income tax related deferred tax assets.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90</w:t>
      </w:r>
    </w:p>
    <w:p>
      <w:pPr>
        <w:sectPr>
          <w:pgSz w:w="11880" w:h="15480" w:orient="portrait"/>
          <w:cols w:equalWidth="0" w:num="1">
            <w:col w:w="10800"/>
          </w:cols>
          <w:pgMar w:left="540" w:top="515" w:right="540" w:bottom="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1E1E1E"/>
        </w:rPr>
        <w:t>The deferred tax asset for federal and state interest limitation carryforwards as of December 31, 2025 is $236.7 million, which has an indefinite carryforward. A valuation allowance of $1.8 million has been established against the state deferred tax assets.</w:t>
      </w:r>
    </w:p>
    <w:p>
      <w:pPr>
        <w:spacing w:after="0" w:line="165"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20"/>
          <w:szCs w:val="20"/>
          <w:color w:val="1E1E1E"/>
        </w:rPr>
        <w:t>In 2025, the Company released approximately $260.0 million of valuation allowance that had been established against federal and state deferred tax assets primarily related to interest limitation carryforwards.</w:t>
      </w:r>
    </w:p>
    <w:p>
      <w:pPr>
        <w:spacing w:after="0" w:line="16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1E1E1E"/>
        </w:rPr>
        <w:t>Under current U.S. tax regulations, repatriation of foreign earnings to the U.S. can generally be completed with no incremental U.S. tax. However, repatriation of foreign earnings could subject the Company to U.S. state and non-U.S. jurisdictional taxes (including withholding taxes) on distributions. As of December 31, 2025, the Company has a deferred tax liability of $5.0 million for the estimated foreign costs associated with the expected repatriation of the Company’s undistributed foreign earnings. The unrecorded deferred tax liability for foreign costs associated with earnings considered permanently reinvested is not material as of December 31, 2025.</w:t>
      </w:r>
    </w:p>
    <w:p>
      <w:pPr>
        <w:spacing w:after="0" w:line="20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1E1E1E"/>
        </w:rPr>
        <w:t>The following table reflects a reconciliation of the beginning to ending period amounts of gross unrecognized tax benefits, excluding interest and penalties: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880" w:type="dxa"/>
            <w:vAlign w:val="bottom"/>
            <w:tcBorders>
              <w:bottom w:val="single" w:sz="8" w:color="1E1E1E"/>
            </w:tcBorders>
            <w:gridSpan w:val="8"/>
          </w:tcPr>
          <w:p>
            <w:pPr>
              <w:jc w:val="right"/>
              <w:ind w:right="1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660" w:type="dxa"/>
            <w:vAlign w:val="bottom"/>
            <w:tcBorders>
              <w:bottom w:val="single" w:sz="8" w:color="E1E1E1"/>
            </w:tcBorders>
          </w:tcPr>
          <w:p>
            <w:pPr>
              <w:spacing w:after="0"/>
              <w:rPr>
                <w:sz w:val="16"/>
                <w:szCs w:val="16"/>
                <w:color w:val="auto"/>
              </w:rPr>
            </w:pPr>
          </w:p>
        </w:tc>
        <w:tc>
          <w:tcPr>
            <w:tcW w:w="20" w:type="dxa"/>
            <w:vAlign w:val="bottom"/>
            <w:tcBorders>
              <w:bottom w:val="single" w:sz="8" w:color="E1E1E1"/>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90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80" w:type="dxa"/>
            <w:vAlign w:val="bottom"/>
            <w:tcBorders>
              <w:bottom w:val="single" w:sz="8" w:color="E1E1E1"/>
            </w:tcBorders>
          </w:tcPr>
          <w:p>
            <w:pPr>
              <w:spacing w:after="0"/>
              <w:rPr>
                <w:sz w:val="16"/>
                <w:szCs w:val="16"/>
                <w:color w:val="auto"/>
              </w:rPr>
            </w:pPr>
          </w:p>
        </w:tc>
        <w:tc>
          <w:tcPr>
            <w:tcW w:w="10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00" w:type="dxa"/>
            <w:vAlign w:val="bottom"/>
            <w:tcBorders>
              <w:bottom w:val="single" w:sz="8" w:color="1E1E1E"/>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Borders>
              <w:bottom w:val="single" w:sz="8" w:color="E1E1E1"/>
            </w:tcBorders>
          </w:tcPr>
          <w:p>
            <w:pPr>
              <w:spacing w:after="0"/>
              <w:rPr>
                <w:sz w:val="16"/>
                <w:szCs w:val="16"/>
                <w:color w:val="auto"/>
              </w:rPr>
            </w:pPr>
          </w:p>
        </w:tc>
        <w:tc>
          <w:tcPr>
            <w:tcW w:w="120" w:type="dxa"/>
            <w:vAlign w:val="bottom"/>
            <w:tcBorders>
              <w:bottom w:val="single" w:sz="8" w:color="E1E1E1"/>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r>
      <w:tr>
        <w:trPr>
          <w:trHeight w:val="239"/>
        </w:trPr>
        <w:tc>
          <w:tcPr>
            <w:tcW w:w="66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Balance at beginning of period</w:t>
            </w:r>
          </w:p>
        </w:tc>
        <w:tc>
          <w:tcPr>
            <w:tcW w:w="20" w:type="dxa"/>
            <w:vAlign w:val="bottom"/>
            <w:shd w:val="clear" w:color="auto" w:fill="E1E1E1"/>
          </w:tcPr>
          <w:p>
            <w:pPr>
              <w:spacing w:after="0"/>
              <w:rPr>
                <w:sz w:val="20"/>
                <w:szCs w:val="20"/>
                <w:color w:val="auto"/>
              </w:rPr>
            </w:pPr>
          </w:p>
        </w:tc>
        <w:tc>
          <w:tcPr>
            <w:tcW w:w="240" w:type="dxa"/>
            <w:vAlign w:val="bottom"/>
            <w:shd w:val="clear" w:color="auto" w:fill="E1E1E1"/>
          </w:tcPr>
          <w:p>
            <w:pPr>
              <w:jc w:val="right"/>
              <w:ind w:right="75"/>
              <w:spacing w:after="0"/>
              <w:rPr>
                <w:sz w:val="20"/>
                <w:szCs w:val="20"/>
                <w:color w:val="auto"/>
              </w:rPr>
            </w:pPr>
            <w:r>
              <w:rPr>
                <w:rFonts w:ascii="Times New Roman" w:cs="Times New Roman" w:eastAsia="Times New Roman" w:hAnsi="Times New Roman"/>
                <w:sz w:val="17"/>
                <w:szCs w:val="17"/>
                <w:color w:val="1E1E1E"/>
                <w:w w:val="70"/>
              </w:rPr>
              <w:t>$</w:t>
            </w: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146.3</w:t>
            </w:r>
          </w:p>
        </w:tc>
        <w:tc>
          <w:tcPr>
            <w:tcW w:w="18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162.1</w:t>
            </w:r>
          </w:p>
        </w:tc>
        <w:tc>
          <w:tcPr>
            <w:tcW w:w="18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240" w:type="dxa"/>
            <w:vAlign w:val="bottom"/>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145.5</w:t>
            </w:r>
          </w:p>
        </w:tc>
        <w:tc>
          <w:tcPr>
            <w:tcW w:w="80" w:type="dxa"/>
            <w:vAlign w:val="bottom"/>
            <w:shd w:val="clear" w:color="auto" w:fill="E1E1E1"/>
          </w:tcPr>
          <w:p>
            <w:pPr>
              <w:spacing w:after="0"/>
              <w:rPr>
                <w:sz w:val="20"/>
                <w:szCs w:val="20"/>
                <w:color w:val="auto"/>
              </w:rPr>
            </w:pP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1E1E1E"/>
              </w:rPr>
              <w:t>Increase related to prior periods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22.5</w:t>
            </w:r>
          </w:p>
        </w:tc>
        <w:tc>
          <w:tcPr>
            <w:tcW w:w="80" w:type="dxa"/>
            <w:vAlign w:val="bottom"/>
          </w:tcPr>
          <w:p>
            <w:pPr>
              <w:spacing w:after="0"/>
              <w:rPr>
                <w:sz w:val="21"/>
                <w:szCs w:val="21"/>
                <w:color w:val="auto"/>
              </w:rPr>
            </w:pPr>
          </w:p>
        </w:tc>
      </w:tr>
      <w:tr>
        <w:trPr>
          <w:trHeight w:val="244"/>
        </w:trPr>
        <w:tc>
          <w:tcPr>
            <w:tcW w:w="66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Decrease related to prior periods</w:t>
            </w:r>
          </w:p>
        </w:tc>
        <w:tc>
          <w:tcPr>
            <w:tcW w:w="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1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8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(0.9)</w:t>
            </w:r>
          </w:p>
        </w:tc>
        <w:tc>
          <w:tcPr>
            <w:tcW w:w="1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(7.9)</w:t>
            </w: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1E1E1E"/>
              </w:rPr>
              <w:t>Increase related to current periods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w:t>
            </w:r>
          </w:p>
        </w:tc>
        <w:tc>
          <w:tcPr>
            <w:tcW w:w="80" w:type="dxa"/>
            <w:vAlign w:val="bottom"/>
          </w:tcPr>
          <w:p>
            <w:pPr>
              <w:spacing w:after="0"/>
              <w:rPr>
                <w:sz w:val="21"/>
                <w:szCs w:val="21"/>
                <w:color w:val="auto"/>
              </w:rPr>
            </w:pPr>
          </w:p>
        </w:tc>
      </w:tr>
      <w:tr>
        <w:trPr>
          <w:trHeight w:val="244"/>
        </w:trPr>
        <w:tc>
          <w:tcPr>
            <w:tcW w:w="66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Decrease related to settlements with taxing authorities</w:t>
            </w:r>
          </w:p>
        </w:tc>
        <w:tc>
          <w:tcPr>
            <w:tcW w:w="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1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80" w:type="dxa"/>
            <w:vAlign w:val="bottom"/>
            <w:gridSpan w:val="2"/>
            <w:shd w:val="clear" w:color="auto" w:fill="E1E1E1"/>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(0.3)</w:t>
            </w:r>
          </w:p>
        </w:tc>
      </w:tr>
      <w:tr>
        <w:trPr>
          <w:trHeight w:val="24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1E1E1E"/>
              </w:rPr>
              <w:t>Decrease related to lapse in statutes of limitations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(3.2)</w:t>
            </w:r>
          </w:p>
        </w:tc>
      </w:tr>
      <w:tr>
        <w:trPr>
          <w:trHeight w:val="244"/>
        </w:trPr>
        <w:tc>
          <w:tcPr>
            <w:tcW w:w="66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Decrease related to divestitures</w:t>
            </w:r>
          </w:p>
        </w:tc>
        <w:tc>
          <w:tcPr>
            <w:tcW w:w="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8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(1.0)</w:t>
            </w:r>
          </w:p>
        </w:tc>
        <w:tc>
          <w:tcPr>
            <w:tcW w:w="10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8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(4.0)</w:t>
            </w:r>
          </w:p>
        </w:tc>
        <w:tc>
          <w:tcPr>
            <w:tcW w:w="12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1E1E1E"/>
              </w:rPr>
              <w:t>Balance at end of period</w:t>
            </w:r>
          </w:p>
        </w:tc>
        <w:tc>
          <w:tcPr>
            <w:tcW w:w="20" w:type="dxa"/>
            <w:vAlign w:val="bottom"/>
          </w:tcPr>
          <w:p>
            <w:pPr>
              <w:spacing w:after="0"/>
              <w:rPr>
                <w:sz w:val="20"/>
                <w:szCs w:val="20"/>
                <w:color w:val="auto"/>
              </w:rPr>
            </w:pPr>
          </w:p>
        </w:tc>
        <w:tc>
          <w:tcPr>
            <w:tcW w:w="240" w:type="dxa"/>
            <w:vAlign w:val="bottom"/>
            <w:tcBorders>
              <w:top w:val="single" w:sz="8" w:color="1E1E1E"/>
              <w:bottom w:val="single" w:sz="8" w:color="1E1E1E"/>
            </w:tcBorders>
          </w:tcPr>
          <w:p>
            <w:pPr>
              <w:jc w:val="right"/>
              <w:ind w:right="75"/>
              <w:spacing w:after="0"/>
              <w:rPr>
                <w:sz w:val="20"/>
                <w:szCs w:val="20"/>
                <w:color w:val="auto"/>
              </w:rPr>
            </w:pPr>
            <w:r>
              <w:rPr>
                <w:rFonts w:ascii="Times New Roman" w:cs="Times New Roman" w:eastAsia="Times New Roman" w:hAnsi="Times New Roman"/>
                <w:sz w:val="17"/>
                <w:szCs w:val="17"/>
                <w:color w:val="1E1E1E"/>
                <w:w w:val="70"/>
              </w:rPr>
              <w:t>$</w:t>
            </w:r>
          </w:p>
        </w:tc>
        <w:tc>
          <w:tcPr>
            <w:tcW w:w="9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140.1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1E1E1E"/>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146.3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1E1E1E"/>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162.1</w:t>
            </w:r>
          </w:p>
        </w:tc>
        <w:tc>
          <w:tcPr>
            <w:tcW w:w="8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The Company’s liability for unrecognized tax benefits that, if recognized, would favorably affect the effective tax rate in future periods was $130.1 million as of December 31, 2025. The Company operates in numerous jurisdictions worldwide and is subject to routine tax audits on a regular basis. The determination of the Company’s unrecognized tax benefits involves significant management judgment regarding interpretation of relevant facts and tax laws in each of these jurisdictions.</w:t>
      </w:r>
    </w:p>
    <w:p>
      <w:pPr>
        <w:spacing w:after="0" w:line="190"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1E1E1E"/>
        </w:rPr>
        <w:t>The Company provides for interest and penalties related to unrecognized tax benefits as income tax expense. The Company accrued $7.1 million and $5.9 million for interest and penalties as of December 31, 2025 and 2024, respectively. During the years ended December 31, 2025, 2024 and 2023, the net expense (benefit) for interest and penalties recognized through income tax expense (benefit) was $3.1 million, $0.5 million and $(4.0) million, respectively.</w:t>
      </w:r>
    </w:p>
    <w:p>
      <w:pPr>
        <w:spacing w:after="0" w:line="19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1E1E1E"/>
        </w:rPr>
        <w:t>The Company files federal, state and local tax returns with statutes of limitation generally ranging from 3 to 4 years. The Company is currently undergoing a U.S. federal income tax audit for the 2019 tax year and is generally no longer subject to state and local tax examinations for years prior to 2021. Tax returns filed by the Company’s significant foreign subsidiaries are generally subject to statutes of limitation of 3 to 7 years and are generally no longer subject to examination for years prior to 2019. In many jurisdictions, tax authorities retain the ability to review prior years’ tax returns and to adjust any net operating loss or tax credit carryforwards from these years that are available to be utilized in subsequent periods. During 2025, the Company recognized $(8.6) million (net of payments) related to the lapse of applicable statutes of limitations and the conclusion of various domestic and foreign examinations.</w:t>
      </w:r>
    </w:p>
    <w:p>
      <w:pPr>
        <w:spacing w:after="0" w:line="20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1E1E1E"/>
        </w:rPr>
        <w:t>The Organization for Economic Co-operation and Development has proposed a global minimum tax of 15% under its Pillar Two Model Rules. Beginning in 2023, many countries began to incorporate Pillar Two into their domestic laws with Pillar Two becoming effective in some countries beginning in 2024. In 2025, the company incurred insignificant tax expense in connection with Pillar Two. On January 5, 2026, the OECD released a comprehensive package for a “side-by-side arrangement” with respect to Pillar Two. Notably, once adopted, this new guidance will prevent other countries from imposing tax on the U.S. profits of American companies. The Company will continue to monitor U.S. and international legislative developments, including further announcements on the side-by-side package, to assess any potential impacts on its operations.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91</w:t>
      </w:r>
    </w:p>
    <w:p>
      <w:pPr>
        <w:sectPr>
          <w:pgSz w:w="11880" w:h="15480" w:orient="portrait"/>
          <w:cols w:equalWidth="0" w:num="1">
            <w:col w:w="10800"/>
          </w:cols>
          <w:pgMar w:left="540" w:top="515" w:right="54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1E1E1E"/>
        </w:rPr>
        <w:t>On July 4, 2025, U.S. legislation formally titled “An Act to Provide for Reconciliation Pursuant to Title II of H. Con. Res. 14” (the Act), commonly referred to as the One Big Beautiful Bill Act, was signed into law. The Act, among other provisions, extended certain key elements of the 2017 Tax Cuts and Jobs Act and introduced targeted changes to the U.S. federal income tax regime. The effects of OBBBA are reflected in the consolidated financial statements for the year ended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presents income tax expense (benefit) related to amounts presented in other comprehensive income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780" w:type="dxa"/>
            <w:vAlign w:val="bottom"/>
            <w:tcBorders>
              <w:bottom w:val="single" w:sz="8" w:color="1E1E1E"/>
            </w:tcBorders>
          </w:tcPr>
          <w:p>
            <w:pPr>
              <w:spacing w:after="0"/>
              <w:rPr>
                <w:sz w:val="17"/>
                <w:szCs w:val="17"/>
                <w:color w:val="auto"/>
              </w:rPr>
            </w:pPr>
          </w:p>
        </w:tc>
        <w:tc>
          <w:tcPr>
            <w:tcW w:w="2360" w:type="dxa"/>
            <w:vAlign w:val="bottom"/>
            <w:tcBorders>
              <w:bottom w:val="single" w:sz="8" w:color="1E1E1E"/>
            </w:tcBorders>
            <w:gridSpan w:val="8"/>
          </w:tcPr>
          <w:p>
            <w:pPr>
              <w:jc w:val="center"/>
              <w:ind w:left="25"/>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60" w:type="dxa"/>
            <w:vAlign w:val="bottom"/>
            <w:tcBorders>
              <w:bottom w:val="single" w:sz="8" w:color="E1E1E1"/>
            </w:tcBorders>
          </w:tcPr>
          <w:p>
            <w:pPr>
              <w:spacing w:after="0"/>
              <w:rPr>
                <w:sz w:val="16"/>
                <w:szCs w:val="16"/>
                <w:color w:val="auto"/>
              </w:rPr>
            </w:pPr>
          </w:p>
        </w:tc>
        <w:tc>
          <w:tcPr>
            <w:tcW w:w="2200" w:type="dxa"/>
            <w:vAlign w:val="bottom"/>
            <w:tcBorders>
              <w:bottom w:val="single" w:sz="8" w:color="E1E1E1"/>
            </w:tcBorders>
          </w:tcPr>
          <w:p>
            <w:pPr>
              <w:spacing w:after="0"/>
              <w:rPr>
                <w:sz w:val="16"/>
                <w:szCs w:val="16"/>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380" w:type="dxa"/>
            <w:vAlign w:val="bottom"/>
            <w:tcBorders>
              <w:bottom w:val="single" w:sz="8" w:color="1E1E1E"/>
            </w:tcBorders>
          </w:tcPr>
          <w:p>
            <w:pPr>
              <w:spacing w:after="0"/>
              <w:rPr>
                <w:sz w:val="16"/>
                <w:szCs w:val="16"/>
                <w:color w:val="auto"/>
              </w:rPr>
            </w:pPr>
          </w:p>
        </w:tc>
        <w:tc>
          <w:tcPr>
            <w:tcW w:w="180" w:type="dxa"/>
            <w:vAlign w:val="bottom"/>
            <w:tcBorders>
              <w:bottom w:val="single" w:sz="8" w:color="E1E1E1"/>
            </w:tcBorders>
          </w:tcPr>
          <w:p>
            <w:pPr>
              <w:spacing w:after="0"/>
              <w:rPr>
                <w:sz w:val="16"/>
                <w:szCs w:val="16"/>
                <w:color w:val="auto"/>
              </w:rPr>
            </w:pPr>
          </w:p>
        </w:tc>
        <w:tc>
          <w:tcPr>
            <w:tcW w:w="100" w:type="dxa"/>
            <w:vAlign w:val="bottom"/>
            <w:tcBorders>
              <w:bottom w:val="single" w:sz="8" w:color="E1E1E1"/>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00" w:type="dxa"/>
            <w:vAlign w:val="bottom"/>
            <w:tcBorders>
              <w:bottom w:val="single" w:sz="8" w:color="1E1E1E"/>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920" w:type="dxa"/>
            <w:vAlign w:val="bottom"/>
            <w:tcBorders>
              <w:bottom w:val="single" w:sz="8" w:color="1E1E1E"/>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4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Foreign currency translation</w:t>
            </w:r>
          </w:p>
        </w:tc>
        <w:tc>
          <w:tcPr>
            <w:tcW w:w="2200" w:type="dxa"/>
            <w:vAlign w:val="bottom"/>
            <w:shd w:val="clear" w:color="auto" w:fill="E1E1E1"/>
          </w:tcPr>
          <w:p>
            <w:pPr>
              <w:spacing w:after="0"/>
              <w:rPr>
                <w:sz w:val="20"/>
                <w:szCs w:val="20"/>
                <w:color w:val="auto"/>
              </w:rPr>
            </w:pPr>
          </w:p>
        </w:tc>
        <w:tc>
          <w:tcPr>
            <w:tcW w:w="780" w:type="dxa"/>
            <w:vAlign w:val="bottom"/>
            <w:shd w:val="clear" w:color="auto" w:fill="E1E1E1"/>
          </w:tcPr>
          <w:p>
            <w:pPr>
              <w:jc w:val="right"/>
              <w:ind w:right="587"/>
              <w:spacing w:after="0"/>
              <w:rPr>
                <w:sz w:val="20"/>
                <w:szCs w:val="20"/>
                <w:color w:val="auto"/>
              </w:rPr>
            </w:pPr>
            <w:r>
              <w:rPr>
                <w:rFonts w:ascii="Times New Roman" w:cs="Times New Roman" w:eastAsia="Times New Roman" w:hAnsi="Times New Roman"/>
                <w:sz w:val="20"/>
                <w:szCs w:val="20"/>
                <w:color w:val="1E1E1E"/>
                <w:w w:val="79"/>
              </w:rPr>
              <w:t>$</w:t>
            </w:r>
          </w:p>
        </w:tc>
        <w:tc>
          <w:tcPr>
            <w:tcW w:w="3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18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(2.3)</w:t>
            </w:r>
          </w:p>
        </w:tc>
        <w:tc>
          <w:tcPr>
            <w:tcW w:w="12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(2.9)</w:t>
            </w:r>
          </w:p>
        </w:tc>
        <w:tc>
          <w:tcPr>
            <w:tcW w:w="0" w:type="dxa"/>
            <w:vAlign w:val="bottom"/>
          </w:tcPr>
          <w:p>
            <w:pPr>
              <w:spacing w:after="0"/>
              <w:rPr>
                <w:sz w:val="1"/>
                <w:szCs w:val="1"/>
                <w:color w:val="auto"/>
              </w:rPr>
            </w:pPr>
          </w:p>
        </w:tc>
      </w:tr>
      <w:tr>
        <w:trPr>
          <w:trHeight w:val="244"/>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1E1E1E"/>
              </w:rPr>
              <w:t>Defined benefit plans</w:t>
            </w:r>
          </w:p>
        </w:tc>
        <w:tc>
          <w:tcPr>
            <w:tcW w:w="2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(0.3)</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Total</w:t>
            </w:r>
          </w:p>
        </w:tc>
        <w:tc>
          <w:tcPr>
            <w:tcW w:w="2200" w:type="dxa"/>
            <w:vAlign w:val="bottom"/>
            <w:shd w:val="clear" w:color="auto" w:fill="E1E1E1"/>
          </w:tcPr>
          <w:p>
            <w:pPr>
              <w:spacing w:after="0" w:line="20" w:lineRule="exact"/>
              <w:rPr>
                <w:sz w:val="1"/>
                <w:szCs w:val="1"/>
                <w:color w:val="auto"/>
              </w:rPr>
            </w:pPr>
          </w:p>
        </w:tc>
        <w:tc>
          <w:tcPr>
            <w:tcW w:w="780" w:type="dxa"/>
            <w:vAlign w:val="bottom"/>
            <w:shd w:val="clear" w:color="auto" w:fill="1E1E1E"/>
          </w:tcPr>
          <w:p>
            <w:pPr>
              <w:spacing w:after="0" w:line="20" w:lineRule="exact"/>
              <w:rPr>
                <w:sz w:val="1"/>
                <w:szCs w:val="1"/>
                <w:color w:val="auto"/>
              </w:rPr>
            </w:pPr>
          </w:p>
        </w:tc>
        <w:tc>
          <w:tcPr>
            <w:tcW w:w="380" w:type="dxa"/>
            <w:vAlign w:val="bottom"/>
            <w:shd w:val="clear" w:color="auto" w:fill="1E1E1E"/>
          </w:tcPr>
          <w:p>
            <w:pPr>
              <w:spacing w:after="0" w:line="20" w:lineRule="exact"/>
              <w:rPr>
                <w:sz w:val="1"/>
                <w:szCs w:val="1"/>
                <w:color w:val="auto"/>
              </w:rPr>
            </w:pPr>
          </w:p>
        </w:tc>
        <w:tc>
          <w:tcPr>
            <w:tcW w:w="180" w:type="dxa"/>
            <w:vAlign w:val="bottom"/>
            <w:shd w:val="clear" w:color="auto" w:fill="E1E1E1"/>
          </w:tcPr>
          <w:p>
            <w:pPr>
              <w:spacing w:after="0" w:line="20" w:lineRule="exact"/>
              <w:rPr>
                <w:sz w:val="1"/>
                <w:szCs w:val="1"/>
                <w:color w:val="auto"/>
              </w:rPr>
            </w:pPr>
          </w:p>
        </w:tc>
        <w:tc>
          <w:tcPr>
            <w:tcW w:w="100" w:type="dxa"/>
            <w:vAlign w:val="bottom"/>
            <w:vMerge w:val="restart"/>
            <w:shd w:val="clear" w:color="auto" w:fill="E1E1E1"/>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460" w:type="dxa"/>
            <w:vAlign w:val="bottom"/>
            <w:vMerge w:val="continue"/>
            <w:shd w:val="clear" w:color="auto" w:fill="E1E1E1"/>
          </w:tcPr>
          <w:p>
            <w:pPr>
              <w:spacing w:after="0"/>
              <w:rPr>
                <w:sz w:val="20"/>
                <w:szCs w:val="20"/>
                <w:color w:val="auto"/>
              </w:rPr>
            </w:pPr>
          </w:p>
        </w:tc>
        <w:tc>
          <w:tcPr>
            <w:tcW w:w="2200" w:type="dxa"/>
            <w:vAlign w:val="bottom"/>
            <w:shd w:val="clear" w:color="auto" w:fill="E1E1E1"/>
          </w:tcPr>
          <w:p>
            <w:pPr>
              <w:spacing w:after="0"/>
              <w:rPr>
                <w:sz w:val="20"/>
                <w:szCs w:val="20"/>
                <w:color w:val="auto"/>
              </w:rPr>
            </w:pPr>
          </w:p>
        </w:tc>
        <w:tc>
          <w:tcPr>
            <w:tcW w:w="780" w:type="dxa"/>
            <w:vAlign w:val="bottom"/>
            <w:shd w:val="clear" w:color="auto" w:fill="E1E1E1"/>
          </w:tcPr>
          <w:p>
            <w:pPr>
              <w:jc w:val="right"/>
              <w:ind w:right="587"/>
              <w:spacing w:after="0"/>
              <w:rPr>
                <w:sz w:val="20"/>
                <w:szCs w:val="20"/>
                <w:color w:val="auto"/>
              </w:rPr>
            </w:pPr>
            <w:r>
              <w:rPr>
                <w:rFonts w:ascii="Times New Roman" w:cs="Times New Roman" w:eastAsia="Times New Roman" w:hAnsi="Times New Roman"/>
                <w:sz w:val="20"/>
                <w:szCs w:val="20"/>
                <w:color w:val="1E1E1E"/>
                <w:w w:val="79"/>
              </w:rPr>
              <w:t>$</w:t>
            </w:r>
          </w:p>
        </w:tc>
        <w:tc>
          <w:tcPr>
            <w:tcW w:w="3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180" w:type="dxa"/>
            <w:vAlign w:val="bottom"/>
            <w:shd w:val="clear" w:color="auto" w:fill="E1E1E1"/>
          </w:tcPr>
          <w:p>
            <w:pPr>
              <w:spacing w:after="0"/>
              <w:rPr>
                <w:sz w:val="20"/>
                <w:szCs w:val="20"/>
                <w:color w:val="auto"/>
              </w:rPr>
            </w:pPr>
          </w:p>
        </w:tc>
        <w:tc>
          <w:tcPr>
            <w:tcW w:w="100" w:type="dxa"/>
            <w:vAlign w:val="bottom"/>
            <w:vMerge w:val="continue"/>
            <w:shd w:val="clear" w:color="auto" w:fill="E1E1E1"/>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(2.4)</w:t>
            </w:r>
          </w:p>
        </w:tc>
        <w:tc>
          <w:tcPr>
            <w:tcW w:w="120" w:type="dxa"/>
            <w:vAlign w:val="bottom"/>
            <w:vMerge w:val="continue"/>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80" w:type="dxa"/>
            <w:vAlign w:val="bottom"/>
            <w:tcBorders>
              <w:top w:val="single" w:sz="8" w:color="1E1E1E"/>
              <w:bottom w:val="single" w:sz="8" w:color="1E1E1E"/>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5145405</wp:posOffset>
            </wp:positionH>
            <wp:positionV relativeFrom="paragraph">
              <wp:posOffset>-511810</wp:posOffset>
            </wp:positionV>
            <wp:extent cx="1658620" cy="164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a:extLst>
                        <a:ext uri="{28A0092B-C50C-407E-A947-70E740481C1C}"/>
                      </a:extLst>
                    </a:blip>
                    <a:srcRect/>
                    <a:stretch>
                      <a:fillRect/>
                    </a:stretch>
                  </pic:blipFill>
                  <pic:spPr bwMode="auto">
                    <a:xfrm>
                      <a:off x="0" y="0"/>
                      <a:ext cx="1658620" cy="164465"/>
                    </a:xfrm>
                    <a:prstGeom prst="rect">
                      <a:avLst/>
                    </a:prstGeom>
                    <a:noFill/>
                  </pic:spPr>
                </pic:pic>
              </a:graphicData>
            </a:graphic>
          </wp:anchor>
        </w:drawing>
        <w:drawing>
          <wp:anchor simplePos="0" relativeHeight="251657728" behindDoc="1" locked="0" layoutInCell="0" allowOverlap="1">
            <wp:simplePos x="0" y="0"/>
            <wp:positionH relativeFrom="column">
              <wp:posOffset>5145405</wp:posOffset>
            </wp:positionH>
            <wp:positionV relativeFrom="paragraph">
              <wp:posOffset>-192405</wp:posOffset>
            </wp:positionV>
            <wp:extent cx="1658620" cy="164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3">
                      <a:extLst>
                        <a:ext uri="{28A0092B-C50C-407E-A947-70E740481C1C}"/>
                      </a:extLst>
                    </a:blip>
                    <a:srcRect/>
                    <a:stretch>
                      <a:fillRect/>
                    </a:stretch>
                  </pic:blipFill>
                  <pic:spPr bwMode="auto">
                    <a:xfrm>
                      <a:off x="0" y="0"/>
                      <a:ext cx="1658620" cy="16446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00" w:hanging="500"/>
        <w:spacing w:after="0"/>
        <w:tabs>
          <w:tab w:leader="none" w:pos="500" w:val="left"/>
        </w:tabs>
        <w:numPr>
          <w:ilvl w:val="0"/>
          <w:numId w:val="6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SERIES A CONVERTIBLE PREFERRED STOCK</w:t>
      </w:r>
    </w:p>
    <w:p>
      <w:pPr>
        <w:spacing w:after="0" w:line="12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1E1E1E"/>
        </w:rPr>
        <w:t>On April 4, 2019, the Company issued and sold 1,000,000 shares of the Series A Convertible Preferred Stock (Convertible Preferred Stock) for $1.0 billion, or $1,000 per share, pursuant to an Investment Agreement between the Company and The Carlyle Group (Carlyle), dated November 8, 2018 (the Investment Agreement). As of December 31, 2025, the Company had authorized 1,400,000 shares of Convertible Preferred Stock.</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1E1E1E"/>
        </w:rPr>
        <w:t>In connection with the sale of the CCS segment that was completed subsequent to fiscal year end on January 9, 2026, the Company has redeemed its Convertible Preferred Stock. For further discussion of the sale of the CCS segment, see Note 19 in these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Dividend Rights</w:t>
      </w:r>
    </w:p>
    <w:p>
      <w:pPr>
        <w:spacing w:after="0" w:line="12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1E1E1E"/>
        </w:rPr>
        <w:t>The Convertible Preferred Stock ranked senior to the shares of the Company’s common stock with respect to dividend rights and rights on the distribution of assets on any voluntary or involuntary liquidation, dissolution or winding up of the affairs of the Company. The Convertible Preferred Stock had a liquidation preference of $1,000 per share. Holders of the Convertible Preferred Stock were entitled to a cumulative dividend at the rate of 5.5% per year, payable quarterly in arrears. If the Company did not declare and pay a dividend, the dividend rate would increase by 2.5% to 8.0% per year (and that rate would increase by an additional 0.50% every three months until such unpaid dividend is declared and paid, subject to a cap of 11.0% per year) until all accrued but unpaid dividends have been paid in full. Dividends were payable in cash, in-kind through the issuance of additional shares of Convertible Preferred Stock or any combination of the two, at the Company’s option.</w:t>
      </w:r>
    </w:p>
    <w:p>
      <w:pPr>
        <w:spacing w:after="0" w:line="202"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20"/>
          <w:szCs w:val="20"/>
          <w:color w:val="1E1E1E"/>
        </w:rPr>
        <w:t>During the years ended December 31, 2025, 2024 and 2023, the Company paid dividends in-kind of $51.3 million, $65.2 million and $61.8 million, respectively, which were recorded as additional Convertible Preferred Stock on the Consolidated Balance Sheets. The Company paid a cash dividend of $17.6 million for the year ended December 31, 2025 but did not pay cash dividends for each of the years ended December 31, 2024 and 2023.</w:t>
      </w:r>
    </w:p>
    <w:p>
      <w:pPr>
        <w:spacing w:after="0" w:line="307" w:lineRule="exact"/>
        <w:rPr>
          <w:sz w:val="20"/>
          <w:szCs w:val="20"/>
          <w:color w:val="auto"/>
        </w:rPr>
      </w:pPr>
    </w:p>
    <w:p>
      <w:pPr>
        <w:ind w:right="7760"/>
        <w:spacing w:after="0" w:line="366" w:lineRule="auto"/>
        <w:tabs>
          <w:tab w:leader="none" w:pos="450" w:val="left"/>
        </w:tabs>
        <w:numPr>
          <w:ilvl w:val="0"/>
          <w:numId w:val="6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STOCKHOLDERS’ EQUITY Equity-Based Compensation Plans</w:t>
      </w:r>
    </w:p>
    <w:p>
      <w:pPr>
        <w:spacing w:after="0" w:line="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1E1E1E"/>
        </w:rPr>
        <w:t>In 2019, the Company’s stockholders approved the 2019 Long-Term Incentive Plan authorizing 8.0 million shares for issuance, plus additional shares underlying awards outstanding under the predecessor plans. Subsequently, in each of the years 2020 through 2025, the Company’s stockholders approved the Amended and Restated 2019 Long-Term Incentive Plan (the 2019 Plan) and authorized an additional aggregate 40.25 million shares for issuance. All future equity awards will be made from the 2019 Plan. Awards under the 2019 Plan may include stock options, stock appreciation rights, restricted stock, stock units (including RSUs) and deferred stock units), performance awards (represents any of the awards already listed with a performance-vesting component), other stock-based awards and cash-based awards. As of December 31, 2025, there were 9.2 million shares available for future grants under the 2019 Plan.</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92</w:t>
      </w:r>
    </w:p>
    <w:p>
      <w:pPr>
        <w:sectPr>
          <w:pgSz w:w="11880" w:h="15480" w:orient="portrait"/>
          <w:cols w:equalWidth="0" w:num="1">
            <w:col w:w="10800"/>
          </w:cols>
          <w:pgMar w:left="540" w:top="515" w:right="540" w:bottom="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color w:val="1E1E1E"/>
        </w:rPr>
        <w:t>As of December 31, 2025, $29.1 million of total unrecognized compensation expense related to unvested stock options, RSUs and performance share units (PSUs) is expected to be recognized over a remaining weighted average period of 1.9 years. There were no significant capitalized equity-based compensation costs at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shows a summary of the equity-based compensation expense included on the Consolidated Statements of</w:t>
      </w:r>
    </w:p>
    <w:p>
      <w:pPr>
        <w:spacing w:after="0"/>
        <w:rPr>
          <w:sz w:val="20"/>
          <w:szCs w:val="20"/>
          <w:color w:val="auto"/>
        </w:rPr>
      </w:pPr>
      <w:r>
        <w:rPr>
          <w:rFonts w:ascii="Times New Roman" w:cs="Times New Roman" w:eastAsia="Times New Roman" w:hAnsi="Times New Roman"/>
          <w:sz w:val="20"/>
          <w:szCs w:val="20"/>
          <w:color w:val="1E1E1E"/>
        </w:rPr>
        <w:t>Operations: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940" w:type="dxa"/>
            <w:vAlign w:val="bottom"/>
            <w:tcBorders>
              <w:bottom w:val="single" w:sz="8" w:color="1E1E1E"/>
            </w:tcBorders>
          </w:tcPr>
          <w:p>
            <w:pPr>
              <w:spacing w:after="0"/>
              <w:rPr>
                <w:sz w:val="17"/>
                <w:szCs w:val="17"/>
                <w:color w:val="auto"/>
              </w:rPr>
            </w:pPr>
          </w:p>
        </w:tc>
        <w:tc>
          <w:tcPr>
            <w:tcW w:w="460" w:type="dxa"/>
            <w:vAlign w:val="bottom"/>
            <w:tcBorders>
              <w:bottom w:val="single" w:sz="8" w:color="1E1E1E"/>
            </w:tcBorders>
          </w:tcPr>
          <w:p>
            <w:pPr>
              <w:spacing w:after="0"/>
              <w:rPr>
                <w:sz w:val="17"/>
                <w:szCs w:val="17"/>
                <w:color w:val="auto"/>
              </w:rPr>
            </w:pPr>
          </w:p>
        </w:tc>
        <w:tc>
          <w:tcPr>
            <w:tcW w:w="2040" w:type="dxa"/>
            <w:vAlign w:val="bottom"/>
            <w:tcBorders>
              <w:bottom w:val="single" w:sz="8" w:color="1E1E1E"/>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32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5900" w:type="dxa"/>
            <w:vAlign w:val="bottom"/>
            <w:tcBorders>
              <w:bottom w:val="single" w:sz="8" w:color="E1E1E1"/>
            </w:tcBorders>
          </w:tcPr>
          <w:p>
            <w:pPr>
              <w:spacing w:after="0"/>
              <w:rPr>
                <w:sz w:val="16"/>
                <w:szCs w:val="16"/>
                <w:color w:val="auto"/>
              </w:rPr>
            </w:pPr>
          </w:p>
        </w:tc>
        <w:tc>
          <w:tcPr>
            <w:tcW w:w="9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60" w:type="dxa"/>
            <w:vAlign w:val="bottom"/>
            <w:tcBorders>
              <w:bottom w:val="single" w:sz="8" w:color="1E1E1E"/>
            </w:tcBorders>
          </w:tcPr>
          <w:p>
            <w:pPr>
              <w:spacing w:after="0"/>
              <w:rPr>
                <w:sz w:val="16"/>
                <w:szCs w:val="16"/>
                <w:color w:val="auto"/>
              </w:rPr>
            </w:pPr>
          </w:p>
        </w:tc>
        <w:tc>
          <w:tcPr>
            <w:tcW w:w="320" w:type="dxa"/>
            <w:vAlign w:val="bottom"/>
            <w:tcBorders>
              <w:bottom w:val="single" w:sz="8" w:color="E1E1E1"/>
            </w:tcBorders>
          </w:tcPr>
          <w:p>
            <w:pPr>
              <w:spacing w:after="0"/>
              <w:rPr>
                <w:sz w:val="16"/>
                <w:szCs w:val="16"/>
                <w:color w:val="auto"/>
              </w:rPr>
            </w:pPr>
          </w:p>
        </w:tc>
        <w:tc>
          <w:tcPr>
            <w:tcW w:w="320" w:type="dxa"/>
            <w:vAlign w:val="bottom"/>
            <w:tcBorders>
              <w:bottom w:val="single" w:sz="8" w:color="1E1E1E"/>
            </w:tcBorders>
          </w:tcPr>
          <w:p>
            <w:pPr>
              <w:spacing w:after="0"/>
              <w:rPr>
                <w:sz w:val="16"/>
                <w:szCs w:val="16"/>
                <w:color w:val="auto"/>
              </w:rPr>
            </w:pPr>
          </w:p>
        </w:tc>
        <w:tc>
          <w:tcPr>
            <w:tcW w:w="1080" w:type="dxa"/>
            <w:vAlign w:val="bottom"/>
            <w:tcBorders>
              <w:bottom w:val="single" w:sz="8" w:color="1E1E1E"/>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20" w:type="dxa"/>
            <w:vAlign w:val="bottom"/>
            <w:tcBorders>
              <w:bottom w:val="single" w:sz="8" w:color="E1E1E1"/>
            </w:tcBorders>
          </w:tcPr>
          <w:p>
            <w:pPr>
              <w:spacing w:after="0"/>
              <w:rPr>
                <w:sz w:val="16"/>
                <w:szCs w:val="16"/>
                <w:color w:val="auto"/>
              </w:rPr>
            </w:pPr>
          </w:p>
        </w:tc>
        <w:tc>
          <w:tcPr>
            <w:tcW w:w="320" w:type="dxa"/>
            <w:vAlign w:val="bottom"/>
            <w:tcBorders>
              <w:bottom w:val="single" w:sz="8" w:color="1E1E1E"/>
            </w:tcBorders>
          </w:tcPr>
          <w:p>
            <w:pPr>
              <w:spacing w:after="0"/>
              <w:rPr>
                <w:sz w:val="16"/>
                <w:szCs w:val="16"/>
                <w:color w:val="auto"/>
              </w:rPr>
            </w:pPr>
          </w:p>
        </w:tc>
        <w:tc>
          <w:tcPr>
            <w:tcW w:w="1080" w:type="dxa"/>
            <w:vAlign w:val="bottom"/>
            <w:tcBorders>
              <w:bottom w:val="single" w:sz="8" w:color="1E1E1E"/>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60" w:type="dxa"/>
            <w:vAlign w:val="bottom"/>
            <w:tcBorders>
              <w:bottom w:val="single" w:sz="8" w:color="E1E1E1"/>
            </w:tcBorders>
          </w:tcPr>
          <w:p>
            <w:pPr>
              <w:spacing w:after="0"/>
              <w:rPr>
                <w:sz w:val="16"/>
                <w:szCs w:val="16"/>
                <w:color w:val="auto"/>
              </w:rPr>
            </w:pPr>
          </w:p>
        </w:tc>
      </w:tr>
      <w:tr>
        <w:trPr>
          <w:trHeight w:val="239"/>
        </w:trPr>
        <w:tc>
          <w:tcPr>
            <w:tcW w:w="59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Selling, general and administrative</w:t>
            </w:r>
          </w:p>
        </w:tc>
        <w:tc>
          <w:tcPr>
            <w:tcW w:w="940" w:type="dxa"/>
            <w:vAlign w:val="bottom"/>
            <w:shd w:val="clear" w:color="auto" w:fill="E1E1E1"/>
          </w:tcPr>
          <w:p>
            <w:pPr>
              <w:jc w:val="right"/>
              <w:ind w:right="747"/>
              <w:spacing w:after="0"/>
              <w:rPr>
                <w:sz w:val="20"/>
                <w:szCs w:val="20"/>
                <w:color w:val="auto"/>
              </w:rPr>
            </w:pPr>
            <w:r>
              <w:rPr>
                <w:rFonts w:ascii="Times New Roman" w:cs="Times New Roman" w:eastAsia="Times New Roman" w:hAnsi="Times New Roman"/>
                <w:sz w:val="20"/>
                <w:szCs w:val="20"/>
                <w:color w:val="1E1E1E"/>
                <w:w w:val="79"/>
              </w:rPr>
              <w:t>$</w:t>
            </w:r>
          </w:p>
        </w:tc>
        <w:tc>
          <w:tcPr>
            <w:tcW w:w="4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26.8</w:t>
            </w:r>
          </w:p>
        </w:tc>
        <w:tc>
          <w:tcPr>
            <w:tcW w:w="320" w:type="dxa"/>
            <w:vAlign w:val="bottom"/>
            <w:shd w:val="clear" w:color="auto" w:fill="E1E1E1"/>
          </w:tcPr>
          <w:p>
            <w:pPr>
              <w:spacing w:after="0"/>
              <w:rPr>
                <w:sz w:val="20"/>
                <w:szCs w:val="20"/>
                <w:color w:val="auto"/>
              </w:rPr>
            </w:pPr>
          </w:p>
        </w:tc>
        <w:tc>
          <w:tcPr>
            <w:tcW w:w="320" w:type="dxa"/>
            <w:vAlign w:val="bottom"/>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15.2</w:t>
            </w:r>
          </w:p>
        </w:tc>
        <w:tc>
          <w:tcPr>
            <w:tcW w:w="320" w:type="dxa"/>
            <w:vAlign w:val="bottom"/>
            <w:shd w:val="clear" w:color="auto" w:fill="E1E1E1"/>
          </w:tcPr>
          <w:p>
            <w:pPr>
              <w:spacing w:after="0"/>
              <w:rPr>
                <w:sz w:val="20"/>
                <w:szCs w:val="20"/>
                <w:color w:val="auto"/>
              </w:rPr>
            </w:pPr>
          </w:p>
        </w:tc>
        <w:tc>
          <w:tcPr>
            <w:tcW w:w="320" w:type="dxa"/>
            <w:vAlign w:val="bottom"/>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20.6</w:t>
            </w:r>
          </w:p>
        </w:tc>
        <w:tc>
          <w:tcPr>
            <w:tcW w:w="60" w:type="dxa"/>
            <w:vAlign w:val="bottom"/>
            <w:shd w:val="clear" w:color="auto" w:fill="E1E1E1"/>
          </w:tcPr>
          <w:p>
            <w:pPr>
              <w:spacing w:after="0"/>
              <w:rPr>
                <w:sz w:val="20"/>
                <w:szCs w:val="20"/>
                <w:color w:val="auto"/>
              </w:rPr>
            </w:pPr>
          </w:p>
        </w:tc>
      </w:tr>
      <w:tr>
        <w:trPr>
          <w:trHeight w:val="244"/>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w:t>
            </w:r>
          </w:p>
        </w:tc>
        <w:tc>
          <w:tcPr>
            <w:tcW w:w="60" w:type="dxa"/>
            <w:vAlign w:val="bottom"/>
          </w:tcPr>
          <w:p>
            <w:pPr>
              <w:spacing w:after="0"/>
              <w:rPr>
                <w:sz w:val="21"/>
                <w:szCs w:val="21"/>
                <w:color w:val="auto"/>
              </w:rPr>
            </w:pPr>
          </w:p>
        </w:tc>
      </w:tr>
      <w:tr>
        <w:trPr>
          <w:trHeight w:val="244"/>
        </w:trPr>
        <w:tc>
          <w:tcPr>
            <w:tcW w:w="59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Cost of sales</w:t>
            </w:r>
          </w:p>
        </w:tc>
        <w:tc>
          <w:tcPr>
            <w:tcW w:w="940" w:type="dxa"/>
            <w:vAlign w:val="bottom"/>
            <w:tcBorders>
              <w:bottom w:val="single" w:sz="8" w:color="1E1E1E"/>
            </w:tcBorders>
            <w:shd w:val="clear" w:color="auto" w:fill="E1E1E1"/>
          </w:tcPr>
          <w:p>
            <w:pPr>
              <w:spacing w:after="0"/>
              <w:rPr>
                <w:sz w:val="21"/>
                <w:szCs w:val="21"/>
                <w:color w:val="auto"/>
              </w:rPr>
            </w:pPr>
          </w:p>
        </w:tc>
        <w:tc>
          <w:tcPr>
            <w:tcW w:w="4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320" w:type="dxa"/>
            <w:vAlign w:val="bottom"/>
            <w:shd w:val="clear" w:color="auto" w:fill="E1E1E1"/>
          </w:tcPr>
          <w:p>
            <w:pPr>
              <w:spacing w:after="0"/>
              <w:rPr>
                <w:sz w:val="21"/>
                <w:szCs w:val="21"/>
                <w:color w:val="auto"/>
              </w:rPr>
            </w:pPr>
          </w:p>
        </w:tc>
        <w:tc>
          <w:tcPr>
            <w:tcW w:w="320" w:type="dxa"/>
            <w:vAlign w:val="bottom"/>
            <w:tcBorders>
              <w:bottom w:val="single" w:sz="8" w:color="1E1E1E"/>
            </w:tcBorders>
            <w:shd w:val="clear" w:color="auto" w:fill="E1E1E1"/>
          </w:tcPr>
          <w:p>
            <w:pPr>
              <w:spacing w:after="0"/>
              <w:rPr>
                <w:sz w:val="21"/>
                <w:szCs w:val="21"/>
                <w:color w:val="auto"/>
              </w:rPr>
            </w:pPr>
          </w:p>
        </w:tc>
        <w:tc>
          <w:tcPr>
            <w:tcW w:w="10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320" w:type="dxa"/>
            <w:vAlign w:val="bottom"/>
            <w:shd w:val="clear" w:color="auto" w:fill="E1E1E1"/>
          </w:tcPr>
          <w:p>
            <w:pPr>
              <w:spacing w:after="0"/>
              <w:rPr>
                <w:sz w:val="21"/>
                <w:szCs w:val="21"/>
                <w:color w:val="auto"/>
              </w:rPr>
            </w:pPr>
          </w:p>
        </w:tc>
        <w:tc>
          <w:tcPr>
            <w:tcW w:w="320" w:type="dxa"/>
            <w:vAlign w:val="bottom"/>
            <w:tcBorders>
              <w:bottom w:val="single" w:sz="8" w:color="1E1E1E"/>
            </w:tcBorders>
            <w:shd w:val="clear" w:color="auto" w:fill="E1E1E1"/>
          </w:tcPr>
          <w:p>
            <w:pPr>
              <w:spacing w:after="0"/>
              <w:rPr>
                <w:sz w:val="21"/>
                <w:szCs w:val="21"/>
                <w:color w:val="auto"/>
              </w:rPr>
            </w:pPr>
          </w:p>
        </w:tc>
        <w:tc>
          <w:tcPr>
            <w:tcW w:w="108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60" w:type="dxa"/>
            <w:vAlign w:val="bottom"/>
            <w:shd w:val="clear" w:color="auto" w:fill="E1E1E1"/>
          </w:tcPr>
          <w:p>
            <w:pPr>
              <w:spacing w:after="0"/>
              <w:rPr>
                <w:sz w:val="21"/>
                <w:szCs w:val="21"/>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Total equity-based compensation expense</w:t>
            </w:r>
          </w:p>
        </w:tc>
        <w:tc>
          <w:tcPr>
            <w:tcW w:w="940" w:type="dxa"/>
            <w:vAlign w:val="bottom"/>
            <w:tcBorders>
              <w:bottom w:val="single" w:sz="8" w:color="1E1E1E"/>
            </w:tcBorders>
          </w:tcPr>
          <w:p>
            <w:pPr>
              <w:jc w:val="right"/>
              <w:ind w:right="747"/>
              <w:spacing w:after="0"/>
              <w:rPr>
                <w:sz w:val="20"/>
                <w:szCs w:val="20"/>
                <w:color w:val="auto"/>
              </w:rPr>
            </w:pPr>
            <w:r>
              <w:rPr>
                <w:rFonts w:ascii="Times New Roman" w:cs="Times New Roman" w:eastAsia="Times New Roman" w:hAnsi="Times New Roman"/>
                <w:sz w:val="20"/>
                <w:szCs w:val="20"/>
                <w:color w:val="1E1E1E"/>
                <w:w w:val="79"/>
              </w:rPr>
              <w:t>$</w:t>
            </w:r>
          </w:p>
        </w:tc>
        <w:tc>
          <w:tcPr>
            <w:tcW w:w="4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30.4</w:t>
            </w:r>
          </w:p>
        </w:tc>
        <w:tc>
          <w:tcPr>
            <w:tcW w:w="320" w:type="dxa"/>
            <w:vAlign w:val="bottom"/>
          </w:tcPr>
          <w:p>
            <w:pPr>
              <w:spacing w:after="0"/>
              <w:rPr>
                <w:sz w:val="20"/>
                <w:szCs w:val="20"/>
                <w:color w:val="auto"/>
              </w:rPr>
            </w:pPr>
          </w:p>
        </w:tc>
        <w:tc>
          <w:tcPr>
            <w:tcW w:w="32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19.5</w:t>
            </w:r>
          </w:p>
        </w:tc>
        <w:tc>
          <w:tcPr>
            <w:tcW w:w="320" w:type="dxa"/>
            <w:vAlign w:val="bottom"/>
          </w:tcPr>
          <w:p>
            <w:pPr>
              <w:spacing w:after="0"/>
              <w:rPr>
                <w:sz w:val="20"/>
                <w:szCs w:val="20"/>
                <w:color w:val="auto"/>
              </w:rPr>
            </w:pPr>
          </w:p>
        </w:tc>
        <w:tc>
          <w:tcPr>
            <w:tcW w:w="32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31.3</w:t>
            </w:r>
          </w:p>
        </w:tc>
        <w:tc>
          <w:tcPr>
            <w:tcW w:w="6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20"/>
          <w:szCs w:val="20"/>
          <w:color w:val="1E1E1E"/>
        </w:rPr>
        <w:t>The Company believes the valuation techniques and the approaches utilized to develop the underlying assumptions are appropriate in estimating the fair values of its equity-based compensation. Estimates of fair value are not intended to predict actual future events or the value ultimately realized by employees who receive equity awards. Subsequent events are not indicative of the reasonableness of the original estimates of fair value made by the Company.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Stock Options</w:t>
      </w:r>
    </w:p>
    <w:p>
      <w:pPr>
        <w:spacing w:after="0" w:line="12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Stock options are awards that allow the recipient to purchase shares of the Company’s common stock at a fixed price. Stock options are granted at an exercise price equal to the Company’s stock price at the date of grant. The Company uses the Black-Scholes model to estimate the fair value of stock options at the date of grant. These awards generally vest over five years following the grant date and have a contractual term of ten years. There were 0.3 million options outstanding as of December 31, 2025 with no intrinsic value and the majority were vested. There were no stock options granted during the years ended December 31, 2025, 2024 or 2023. The intrinsic value of options exercised during the years ended December 31, 2025, 2024 and 2023 was not material.</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Restricted Stock Units</w:t>
      </w:r>
    </w:p>
    <w:p>
      <w:pPr>
        <w:spacing w:after="0" w:line="123"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20"/>
          <w:szCs w:val="20"/>
          <w:color w:val="1E1E1E"/>
        </w:rPr>
        <w:t>RSUs entitle the holder to shares of common stock after a vesting period of generally three years. The fair value of the awards is determined on the grant date based on the Company’s stock price.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summarizes the RSU activity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1E1E1E"/>
              </w:rPr>
              <w:t>Weighted</w:t>
            </w:r>
          </w:p>
        </w:tc>
      </w:tr>
      <w:tr>
        <w:trPr>
          <w:trHeight w:val="184"/>
        </w:trPr>
        <w:tc>
          <w:tcPr>
            <w:tcW w:w="5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1E1E1E"/>
                <w:w w:val="99"/>
              </w:rPr>
              <w:t>Average Grant</w:t>
            </w:r>
          </w:p>
        </w:tc>
      </w:tr>
      <w:tr>
        <w:trPr>
          <w:trHeight w:val="184"/>
        </w:trPr>
        <w:tc>
          <w:tcPr>
            <w:tcW w:w="5700" w:type="dxa"/>
            <w:vAlign w:val="bottom"/>
          </w:tcPr>
          <w:p>
            <w:pPr>
              <w:spacing w:after="0"/>
              <w:rPr>
                <w:sz w:val="16"/>
                <w:szCs w:val="16"/>
                <w:color w:val="auto"/>
              </w:rPr>
            </w:pPr>
          </w:p>
        </w:tc>
        <w:tc>
          <w:tcPr>
            <w:tcW w:w="178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1E1E1E"/>
              </w:rPr>
              <w:t>Restricted</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1E1E1E"/>
              </w:rPr>
              <w:t>Date Fair Value</w:t>
            </w:r>
          </w:p>
        </w:tc>
      </w:tr>
      <w:tr>
        <w:trPr>
          <w:trHeight w:val="204"/>
        </w:trPr>
        <w:tc>
          <w:tcPr>
            <w:tcW w:w="5700" w:type="dxa"/>
            <w:vAlign w:val="bottom"/>
          </w:tcPr>
          <w:p>
            <w:pPr>
              <w:spacing w:after="0"/>
              <w:rPr>
                <w:sz w:val="17"/>
                <w:szCs w:val="17"/>
                <w:color w:val="auto"/>
              </w:rPr>
            </w:pPr>
          </w:p>
        </w:tc>
        <w:tc>
          <w:tcPr>
            <w:tcW w:w="178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1E1E1E"/>
              </w:rPr>
              <w:t>Stock Units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1E1E1E"/>
                <w:w w:val="99"/>
              </w:rPr>
              <w:t>Per Share</w:t>
            </w:r>
          </w:p>
        </w:tc>
      </w:tr>
      <w:tr>
        <w:trPr>
          <w:trHeight w:val="239"/>
        </w:trPr>
        <w:tc>
          <w:tcPr>
            <w:tcW w:w="57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Non-vested share units at December 31, 2024</w:t>
            </w:r>
          </w:p>
        </w:tc>
        <w:tc>
          <w:tcPr>
            <w:tcW w:w="1780" w:type="dxa"/>
            <w:vAlign w:val="bottom"/>
            <w:tcBorders>
              <w:top w:val="single" w:sz="8" w:color="1E1E1E"/>
            </w:tcBorders>
            <w:shd w:val="clear" w:color="auto" w:fill="E1E1E1"/>
          </w:tcPr>
          <w:p>
            <w:pPr>
              <w:spacing w:after="0"/>
              <w:rPr>
                <w:sz w:val="20"/>
                <w:szCs w:val="20"/>
                <w:color w:val="auto"/>
              </w:rPr>
            </w:pPr>
          </w:p>
        </w:tc>
        <w:tc>
          <w:tcPr>
            <w:tcW w:w="58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340" w:type="dxa"/>
            <w:vAlign w:val="bottom"/>
            <w:tcBorders>
              <w:top w:val="single" w:sz="8" w:color="E1E1E1"/>
            </w:tcBorders>
            <w:shd w:val="clear" w:color="auto" w:fill="E1E1E1"/>
          </w:tcPr>
          <w:p>
            <w:pPr>
              <w:spacing w:after="0"/>
              <w:rPr>
                <w:sz w:val="20"/>
                <w:szCs w:val="20"/>
                <w:color w:val="auto"/>
              </w:rPr>
            </w:pPr>
          </w:p>
        </w:tc>
        <w:tc>
          <w:tcPr>
            <w:tcW w:w="360" w:type="dxa"/>
            <w:vAlign w:val="bottom"/>
            <w:tcBorders>
              <w:top w:val="single" w:sz="8" w:color="1E1E1E"/>
            </w:tcBorders>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98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2.84</w:t>
            </w:r>
          </w:p>
        </w:tc>
        <w:tc>
          <w:tcPr>
            <w:tcW w:w="60" w:type="dxa"/>
            <w:vAlign w:val="bottom"/>
            <w:tcBorders>
              <w:top w:val="single" w:sz="8" w:color="E1E1E1"/>
            </w:tcBorders>
            <w:shd w:val="clear" w:color="auto" w:fill="E1E1E1"/>
          </w:tcPr>
          <w:p>
            <w:pPr>
              <w:spacing w:after="0"/>
              <w:rPr>
                <w:sz w:val="20"/>
                <w:szCs w:val="20"/>
                <w:color w:val="auto"/>
              </w:rPr>
            </w:pPr>
          </w:p>
        </w:tc>
      </w:tr>
      <w:tr>
        <w:trPr>
          <w:trHeight w:val="244"/>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w:t>
            </w:r>
          </w:p>
        </w:tc>
        <w:tc>
          <w:tcPr>
            <w:tcW w:w="34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6.14</w:t>
            </w:r>
          </w:p>
        </w:tc>
        <w:tc>
          <w:tcPr>
            <w:tcW w:w="60" w:type="dxa"/>
            <w:vAlign w:val="bottom"/>
          </w:tcPr>
          <w:p>
            <w:pPr>
              <w:spacing w:after="0"/>
              <w:rPr>
                <w:sz w:val="21"/>
                <w:szCs w:val="21"/>
                <w:color w:val="auto"/>
              </w:rPr>
            </w:pPr>
          </w:p>
        </w:tc>
      </w:tr>
      <w:tr>
        <w:trPr>
          <w:trHeight w:val="244"/>
        </w:trPr>
        <w:tc>
          <w:tcPr>
            <w:tcW w:w="7480" w:type="dxa"/>
            <w:vAlign w:val="bottom"/>
            <w:gridSpan w:val="2"/>
            <w:shd w:val="clear" w:color="auto" w:fill="E1E1E1"/>
          </w:tcPr>
          <w:p>
            <w:pPr>
              <w:spacing w:after="0"/>
              <w:rPr>
                <w:sz w:val="20"/>
                <w:szCs w:val="20"/>
                <w:color w:val="auto"/>
              </w:rPr>
            </w:pPr>
            <w:r>
              <w:rPr>
                <w:rFonts w:ascii="Times New Roman" w:cs="Times New Roman" w:eastAsia="Times New Roman" w:hAnsi="Times New Roman"/>
                <w:sz w:val="20"/>
                <w:szCs w:val="20"/>
                <w:color w:val="1E1E1E"/>
              </w:rPr>
              <w:t>Vested and shares issued</w:t>
            </w:r>
          </w:p>
        </w:tc>
        <w:tc>
          <w:tcPr>
            <w:tcW w:w="920" w:type="dxa"/>
            <w:vAlign w:val="bottom"/>
            <w:gridSpan w:val="2"/>
            <w:shd w:val="clear" w:color="auto" w:fill="E1E1E1"/>
          </w:tcPr>
          <w:p>
            <w:pPr>
              <w:jc w:val="right"/>
              <w:ind w:right="260"/>
              <w:spacing w:after="0"/>
              <w:rPr>
                <w:sz w:val="20"/>
                <w:szCs w:val="20"/>
                <w:color w:val="auto"/>
              </w:rPr>
            </w:pPr>
            <w:r>
              <w:rPr>
                <w:rFonts w:ascii="Times New Roman" w:cs="Times New Roman" w:eastAsia="Times New Roman" w:hAnsi="Times New Roman"/>
                <w:sz w:val="20"/>
                <w:szCs w:val="20"/>
                <w:color w:val="1E1E1E"/>
              </w:rPr>
              <w:t>(5.5)</w:t>
            </w:r>
          </w:p>
        </w:tc>
        <w:tc>
          <w:tcPr>
            <w:tcW w:w="360" w:type="dxa"/>
            <w:vAlign w:val="bottom"/>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9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3.79</w:t>
            </w:r>
          </w:p>
        </w:tc>
        <w:tc>
          <w:tcPr>
            <w:tcW w:w="60" w:type="dxa"/>
            <w:vAlign w:val="bottom"/>
            <w:shd w:val="clear" w:color="auto" w:fill="E1E1E1"/>
          </w:tcPr>
          <w:p>
            <w:pPr>
              <w:spacing w:after="0"/>
              <w:rPr>
                <w:sz w:val="21"/>
                <w:szCs w:val="21"/>
                <w:color w:val="auto"/>
              </w:rPr>
            </w:pPr>
          </w:p>
        </w:tc>
      </w:tr>
      <w:tr>
        <w:trPr>
          <w:trHeight w:val="244"/>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Forfeited</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(1.1)</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3.45</w:t>
            </w:r>
          </w:p>
        </w:tc>
        <w:tc>
          <w:tcPr>
            <w:tcW w:w="60" w:type="dxa"/>
            <w:vAlign w:val="bottom"/>
          </w:tcPr>
          <w:p>
            <w:pPr>
              <w:spacing w:after="0"/>
              <w:rPr>
                <w:sz w:val="21"/>
                <w:szCs w:val="21"/>
                <w:color w:val="auto"/>
              </w:rPr>
            </w:pPr>
          </w:p>
        </w:tc>
      </w:tr>
      <w:tr>
        <w:trPr>
          <w:trHeight w:val="239"/>
        </w:trPr>
        <w:tc>
          <w:tcPr>
            <w:tcW w:w="57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Non-vested share units at December 31, 2025</w:t>
            </w:r>
          </w:p>
        </w:tc>
        <w:tc>
          <w:tcPr>
            <w:tcW w:w="1780" w:type="dxa"/>
            <w:vAlign w:val="bottom"/>
            <w:tcBorders>
              <w:top w:val="single" w:sz="8" w:color="1E1E1E"/>
              <w:bottom w:val="single" w:sz="8" w:color="1E1E1E"/>
            </w:tcBorders>
            <w:shd w:val="clear" w:color="auto" w:fill="E1E1E1"/>
          </w:tcPr>
          <w:p>
            <w:pPr>
              <w:spacing w:after="0"/>
              <w:rPr>
                <w:sz w:val="20"/>
                <w:szCs w:val="20"/>
                <w:color w:val="auto"/>
              </w:rPr>
            </w:pPr>
          </w:p>
        </w:tc>
        <w:tc>
          <w:tcPr>
            <w:tcW w:w="5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8.5</w:t>
            </w:r>
          </w:p>
        </w:tc>
        <w:tc>
          <w:tcPr>
            <w:tcW w:w="340" w:type="dxa"/>
            <w:vAlign w:val="bottom"/>
            <w:tcBorders>
              <w:top w:val="single" w:sz="8" w:color="E1E1E1"/>
            </w:tcBorders>
            <w:shd w:val="clear" w:color="auto" w:fill="E1E1E1"/>
          </w:tcPr>
          <w:p>
            <w:pPr>
              <w:spacing w:after="0"/>
              <w:rPr>
                <w:sz w:val="20"/>
                <w:szCs w:val="20"/>
                <w:color w:val="auto"/>
              </w:rPr>
            </w:pPr>
          </w:p>
        </w:tc>
        <w:tc>
          <w:tcPr>
            <w:tcW w:w="360" w:type="dxa"/>
            <w:vAlign w:val="bottom"/>
            <w:tcBorders>
              <w:top w:val="single" w:sz="8" w:color="E1E1E1"/>
            </w:tcBorders>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980" w:type="dxa"/>
            <w:vAlign w:val="bottom"/>
            <w:tcBorders>
              <w:top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3.59</w:t>
            </w:r>
          </w:p>
        </w:tc>
        <w:tc>
          <w:tcPr>
            <w:tcW w:w="60" w:type="dxa"/>
            <w:vAlign w:val="bottom"/>
            <w:tcBorders>
              <w:top w:val="single" w:sz="8" w:color="E1E1E1"/>
            </w:tcBorders>
            <w:shd w:val="clear" w:color="auto" w:fill="E1E1E1"/>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78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1E1E1E"/>
        </w:rPr>
        <w:t>The weighted average grant date fair value per unit of these awards granted during the years ended December 31, 2025, 2024 and 2023 was $6.14, $1.40 and $4.68, respectively. The total fair value of RSUs that vested during the years ended December 31, 2025, 2024 and 2023 was $21.0 million, $25.7 million and $40.0 million, respectively.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Performance Share Units</w:t>
      </w:r>
    </w:p>
    <w:p>
      <w:pPr>
        <w:spacing w:after="0" w:line="12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9"/>
          <w:szCs w:val="19"/>
          <w:color w:val="1E1E1E"/>
        </w:rPr>
        <w:t>PSUs are stock awards in which the number of shares ultimately received by the employee depends on achievement toward a performance measure. Certain of the Company’s PSUs have an internal performance measure and vest at the end of three years, with the number of shares issued varying between 0% and 200% of the units granted. Beginning in 2025, the Company also granted PSUs</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93</w:t>
      </w:r>
    </w:p>
    <w:p>
      <w:pPr>
        <w:sectPr>
          <w:pgSz w:w="11880" w:h="15480" w:orient="portrait"/>
          <w:cols w:equalWidth="0" w:num="1">
            <w:col w:w="10800"/>
          </w:cols>
          <w:pgMar w:left="540" w:top="515" w:right="540" w:bottom="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1E1E1E"/>
        </w:rPr>
        <w:t>that vest over three years but are earned based on annual performance periods; these awards are divided into three equal tranches, each tied to the applicable annual internal performance measure, with each tranche payable between 0% and 200% of the units granted. The fair value of all such awards is determined on the date of grant based on the Company’s stock price.</w:t>
      </w:r>
    </w:p>
    <w:p>
      <w:pPr>
        <w:spacing w:after="0" w:line="185"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1E1E1E"/>
        </w:rPr>
        <w:t>The Company also has PSUs with a market condition based on the Company’s total stockholder return (TSR) ranking relative to the S&amp;P 500 TSR for a three-year period. The number of shares issued under these awards can vary between 0% to 200% of the number of PSUs granted. The Company uses a Monte Carlo simulation model to estimate the fair value of PSUs with a market condition performance measure at the date of grant. Key assumptions used in the model include the risk-free interest rate, which reflects the yield on zero-coupon U.S. treasury securities, and stock price volatility, which is derived based on the historical volatility of the Company’s stock.</w:t>
      </w:r>
    </w:p>
    <w:p>
      <w:pPr>
        <w:spacing w:after="0" w:line="190" w:lineRule="exact"/>
        <w:rPr>
          <w:sz w:val="20"/>
          <w:szCs w:val="20"/>
          <w:color w:val="auto"/>
        </w:rPr>
      </w:pPr>
    </w:p>
    <w:p>
      <w:pPr>
        <w:ind w:right="560"/>
        <w:spacing w:after="0" w:line="247" w:lineRule="auto"/>
        <w:rPr>
          <w:sz w:val="20"/>
          <w:szCs w:val="20"/>
          <w:color w:val="auto"/>
        </w:rPr>
      </w:pPr>
      <w:r>
        <w:rPr>
          <w:rFonts w:ascii="Times New Roman" w:cs="Times New Roman" w:eastAsia="Times New Roman" w:hAnsi="Times New Roman"/>
          <w:sz w:val="20"/>
          <w:szCs w:val="20"/>
          <w:color w:val="1E1E1E"/>
          <w:highlight w:val="white"/>
        </w:rPr>
        <w:t xml:space="preserve">During the year ended December 31, 2025, certain PSUs expired as the </w:t>
      </w:r>
      <w:r>
        <w:rPr>
          <w:rFonts w:ascii="Times New Roman" w:cs="Times New Roman" w:eastAsia="Times New Roman" w:hAnsi="Times New Roman"/>
          <w:sz w:val="20"/>
          <w:szCs w:val="20"/>
          <w:color w:val="1E1E1E"/>
        </w:rPr>
        <w:t>market condition based on the Company’s TSR ranking</w:t>
      </w:r>
      <w:r>
        <w:rPr>
          <w:rFonts w:ascii="Times New Roman" w:cs="Times New Roman" w:eastAsia="Times New Roman" w:hAnsi="Times New Roman"/>
          <w:sz w:val="20"/>
          <w:szCs w:val="20"/>
          <w:color w:val="1E1E1E"/>
          <w:highlight w:val="white"/>
        </w:rPr>
        <w:t xml:space="preserve"> </w:t>
      </w:r>
      <w:r>
        <w:rPr>
          <w:rFonts w:ascii="Times New Roman" w:cs="Times New Roman" w:eastAsia="Times New Roman" w:hAnsi="Times New Roman"/>
          <w:sz w:val="20"/>
          <w:szCs w:val="20"/>
          <w:color w:val="1E1E1E"/>
        </w:rPr>
        <w:t>relative to the S&amp;P 500 TSR was not met. Consequently, no shares were issued related to these awards. In addition, in 2025,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-140335</wp:posOffset>
            </wp:positionV>
            <wp:extent cx="3830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4">
                      <a:extLst>
                        <a:ext uri="{28A0092B-C50C-407E-A947-70E740481C1C}"/>
                      </a:extLst>
                    </a:blip>
                    <a:srcRect/>
                    <a:stretch>
                      <a:fillRect/>
                    </a:stretch>
                  </pic:blipFill>
                  <pic:spPr bwMode="auto">
                    <a:xfrm>
                      <a:off x="0" y="0"/>
                      <a:ext cx="3830320" cy="146050"/>
                    </a:xfrm>
                    <a:prstGeom prst="rect">
                      <a:avLst/>
                    </a:prstGeom>
                    <a:noFill/>
                  </pic:spPr>
                </pic:pic>
              </a:graphicData>
            </a:graphic>
          </wp:anchor>
        </w:drawing>
      </w:r>
    </w:p>
    <w:p>
      <w:pPr>
        <w:ind w:right="720"/>
        <w:spacing w:after="0" w:line="238" w:lineRule="exact"/>
        <w:rPr>
          <w:sz w:val="20"/>
          <w:szCs w:val="20"/>
          <w:color w:val="auto"/>
        </w:rPr>
      </w:pPr>
      <w:r>
        <w:rPr>
          <w:rFonts w:ascii="Times New Roman" w:cs="Times New Roman" w:eastAsia="Times New Roman" w:hAnsi="Times New Roman"/>
          <w:sz w:val="20"/>
          <w:szCs w:val="20"/>
          <w:color w:val="1E1E1E"/>
        </w:rPr>
        <w:t>recognized incremental stock</w:t>
      </w:r>
      <w:r>
        <w:rPr>
          <w:rFonts w:ascii="MS Gothic" w:cs="MS Gothic" w:eastAsia="MS Gothic" w:hAnsi="MS Gothic"/>
          <w:sz w:val="20"/>
          <w:szCs w:val="20"/>
          <w:color w:val="1E1E1E"/>
        </w:rPr>
        <w:t>-</w:t>
      </w:r>
      <w:r>
        <w:rPr>
          <w:rFonts w:ascii="Times New Roman" w:cs="Times New Roman" w:eastAsia="Times New Roman" w:hAnsi="Times New Roman"/>
          <w:sz w:val="20"/>
          <w:szCs w:val="20"/>
          <w:color w:val="1E1E1E"/>
        </w:rPr>
        <w:t>based compensation expense related to certain TSR awards for which the service condition was accelerated, resulting in total performance attainment of 175% for the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summarizes the PSU activity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rPr>
              <w:t>Weighted</w:t>
            </w:r>
          </w:p>
        </w:tc>
      </w:tr>
      <w:tr>
        <w:trPr>
          <w:trHeight w:val="184"/>
        </w:trPr>
        <w:tc>
          <w:tcPr>
            <w:tcW w:w="6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w w:val="99"/>
              </w:rPr>
              <w:t>Average Grant</w:t>
            </w:r>
          </w:p>
        </w:tc>
      </w:tr>
      <w:tr>
        <w:trPr>
          <w:trHeight w:val="184"/>
        </w:trPr>
        <w:tc>
          <w:tcPr>
            <w:tcW w:w="6340" w:type="dxa"/>
            <w:vAlign w:val="bottom"/>
          </w:tcPr>
          <w:p>
            <w:pPr>
              <w:spacing w:after="0"/>
              <w:rPr>
                <w:sz w:val="16"/>
                <w:szCs w:val="16"/>
                <w:color w:val="auto"/>
              </w:rPr>
            </w:pPr>
          </w:p>
        </w:tc>
        <w:tc>
          <w:tcPr>
            <w:tcW w:w="1600" w:type="dxa"/>
            <w:vAlign w:val="bottom"/>
          </w:tcPr>
          <w:p>
            <w:pPr>
              <w:jc w:val="center"/>
              <w:ind w:left="360"/>
              <w:spacing w:after="0"/>
              <w:rPr>
                <w:sz w:val="20"/>
                <w:szCs w:val="20"/>
                <w:color w:val="auto"/>
              </w:rPr>
            </w:pPr>
            <w:r>
              <w:rPr>
                <w:rFonts w:ascii="Times New Roman" w:cs="Times New Roman" w:eastAsia="Times New Roman" w:hAnsi="Times New Roman"/>
                <w:sz w:val="16"/>
                <w:szCs w:val="16"/>
                <w:b w:val="1"/>
                <w:bCs w:val="1"/>
                <w:color w:val="1E1E1E"/>
                <w:w w:val="98"/>
              </w:rPr>
              <w:t>Performance</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rPr>
              <w:t>Date Fair Value</w:t>
            </w:r>
          </w:p>
        </w:tc>
      </w:tr>
      <w:tr>
        <w:trPr>
          <w:trHeight w:val="204"/>
        </w:trPr>
        <w:tc>
          <w:tcPr>
            <w:tcW w:w="6340" w:type="dxa"/>
            <w:vAlign w:val="bottom"/>
          </w:tcPr>
          <w:p>
            <w:pPr>
              <w:spacing w:after="0"/>
              <w:rPr>
                <w:sz w:val="17"/>
                <w:szCs w:val="17"/>
                <w:color w:val="auto"/>
              </w:rPr>
            </w:pPr>
          </w:p>
        </w:tc>
        <w:tc>
          <w:tcPr>
            <w:tcW w:w="1600" w:type="dxa"/>
            <w:vAlign w:val="bottom"/>
          </w:tcPr>
          <w:p>
            <w:pPr>
              <w:jc w:val="center"/>
              <w:ind w:left="360"/>
              <w:spacing w:after="0"/>
              <w:rPr>
                <w:sz w:val="20"/>
                <w:szCs w:val="20"/>
                <w:color w:val="auto"/>
              </w:rPr>
            </w:pPr>
            <w:r>
              <w:rPr>
                <w:rFonts w:ascii="Times New Roman" w:cs="Times New Roman" w:eastAsia="Times New Roman" w:hAnsi="Times New Roman"/>
                <w:sz w:val="16"/>
                <w:szCs w:val="16"/>
                <w:b w:val="1"/>
                <w:bCs w:val="1"/>
                <w:color w:val="1E1E1E"/>
                <w:w w:val="99"/>
              </w:rPr>
              <w:t>Share Units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1E1E1E"/>
                <w:w w:val="99"/>
              </w:rPr>
              <w:t>Per Share</w:t>
            </w:r>
          </w:p>
        </w:tc>
      </w:tr>
      <w:tr>
        <w:trPr>
          <w:trHeight w:val="239"/>
        </w:trPr>
        <w:tc>
          <w:tcPr>
            <w:tcW w:w="634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Non-vested share units at December 31, 2024</w:t>
            </w:r>
          </w:p>
        </w:tc>
        <w:tc>
          <w:tcPr>
            <w:tcW w:w="1600" w:type="dxa"/>
            <w:vAlign w:val="bottom"/>
            <w:tcBorders>
              <w:top w:val="single" w:sz="8" w:color="1E1E1E"/>
            </w:tcBorders>
            <w:shd w:val="clear" w:color="auto" w:fill="E1E1E1"/>
          </w:tcPr>
          <w:p>
            <w:pPr>
              <w:spacing w:after="0"/>
              <w:rPr>
                <w:sz w:val="20"/>
                <w:szCs w:val="20"/>
                <w:color w:val="auto"/>
              </w:rPr>
            </w:pPr>
          </w:p>
        </w:tc>
        <w:tc>
          <w:tcPr>
            <w:tcW w:w="46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3.4</w:t>
            </w:r>
          </w:p>
        </w:tc>
        <w:tc>
          <w:tcPr>
            <w:tcW w:w="18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E1E1E1"/>
            </w:tcBorders>
            <w:shd w:val="clear" w:color="auto" w:fill="E1E1E1"/>
          </w:tcPr>
          <w:p>
            <w:pPr>
              <w:spacing w:after="0"/>
              <w:rPr>
                <w:sz w:val="20"/>
                <w:szCs w:val="20"/>
                <w:color w:val="auto"/>
              </w:rPr>
            </w:pPr>
          </w:p>
        </w:tc>
        <w:tc>
          <w:tcPr>
            <w:tcW w:w="280" w:type="dxa"/>
            <w:vAlign w:val="bottom"/>
            <w:tcBorders>
              <w:top w:val="single" w:sz="8" w:color="1E1E1E"/>
            </w:tcBorders>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7.30</w:t>
            </w:r>
          </w:p>
        </w:tc>
        <w:tc>
          <w:tcPr>
            <w:tcW w:w="60" w:type="dxa"/>
            <w:vAlign w:val="bottom"/>
            <w:tcBorders>
              <w:top w:val="single" w:sz="8" w:color="E1E1E1"/>
            </w:tcBorders>
            <w:shd w:val="clear" w:color="auto" w:fill="E1E1E1"/>
          </w:tcPr>
          <w:p>
            <w:pPr>
              <w:spacing w:after="0"/>
              <w:rPr>
                <w:sz w:val="20"/>
                <w:szCs w:val="20"/>
                <w:color w:val="auto"/>
              </w:rPr>
            </w:pPr>
          </w:p>
        </w:tc>
      </w:tr>
      <w:tr>
        <w:trPr>
          <w:trHeight w:val="244"/>
        </w:trPr>
        <w:tc>
          <w:tcPr>
            <w:tcW w:w="7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180" w:type="dxa"/>
            <w:vAlign w:val="bottom"/>
          </w:tcPr>
          <w:p>
            <w:pPr>
              <w:spacing w:after="0"/>
              <w:rPr>
                <w:sz w:val="21"/>
                <w:szCs w:val="21"/>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6.33</w:t>
            </w:r>
          </w:p>
        </w:tc>
        <w:tc>
          <w:tcPr>
            <w:tcW w:w="60" w:type="dxa"/>
            <w:vAlign w:val="bottom"/>
          </w:tcPr>
          <w:p>
            <w:pPr>
              <w:spacing w:after="0"/>
              <w:rPr>
                <w:sz w:val="21"/>
                <w:szCs w:val="21"/>
                <w:color w:val="auto"/>
              </w:rPr>
            </w:pPr>
          </w:p>
        </w:tc>
      </w:tr>
      <w:tr>
        <w:trPr>
          <w:trHeight w:val="244"/>
        </w:trPr>
        <w:tc>
          <w:tcPr>
            <w:tcW w:w="7940" w:type="dxa"/>
            <w:vAlign w:val="bottom"/>
            <w:gridSpan w:val="2"/>
            <w:shd w:val="clear" w:color="auto" w:fill="E1E1E1"/>
          </w:tcPr>
          <w:p>
            <w:pPr>
              <w:spacing w:after="0"/>
              <w:rPr>
                <w:sz w:val="20"/>
                <w:szCs w:val="20"/>
                <w:color w:val="auto"/>
              </w:rPr>
            </w:pPr>
            <w:r>
              <w:rPr>
                <w:rFonts w:ascii="Times New Roman" w:cs="Times New Roman" w:eastAsia="Times New Roman" w:hAnsi="Times New Roman"/>
                <w:sz w:val="20"/>
                <w:szCs w:val="20"/>
                <w:color w:val="1E1E1E"/>
              </w:rPr>
              <w:t>Performance award achievement adjustment</w:t>
            </w:r>
          </w:p>
        </w:tc>
        <w:tc>
          <w:tcPr>
            <w:tcW w:w="4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180" w:type="dxa"/>
            <w:vAlign w:val="bottom"/>
            <w:shd w:val="clear" w:color="auto" w:fill="E1E1E1"/>
          </w:tcPr>
          <w:p>
            <w:pPr>
              <w:spacing w:after="0"/>
              <w:rPr>
                <w:sz w:val="21"/>
                <w:szCs w:val="21"/>
                <w:color w:val="auto"/>
              </w:rPr>
            </w:pPr>
          </w:p>
        </w:tc>
        <w:tc>
          <w:tcPr>
            <w:tcW w:w="400" w:type="dxa"/>
            <w:vAlign w:val="bottom"/>
            <w:gridSpan w:val="2"/>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9.69</w:t>
            </w:r>
          </w:p>
        </w:tc>
        <w:tc>
          <w:tcPr>
            <w:tcW w:w="60" w:type="dxa"/>
            <w:vAlign w:val="bottom"/>
            <w:shd w:val="clear" w:color="auto" w:fill="E1E1E1"/>
          </w:tcPr>
          <w:p>
            <w:pPr>
              <w:spacing w:after="0"/>
              <w:rPr>
                <w:sz w:val="21"/>
                <w:szCs w:val="21"/>
                <w:color w:val="auto"/>
              </w:rPr>
            </w:pPr>
          </w:p>
        </w:tc>
      </w:tr>
      <w:tr>
        <w:trPr>
          <w:trHeight w:val="244"/>
        </w:trPr>
        <w:tc>
          <w:tcPr>
            <w:tcW w:w="7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Vested and shares issued</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8.40</w:t>
            </w:r>
          </w:p>
        </w:tc>
        <w:tc>
          <w:tcPr>
            <w:tcW w:w="60" w:type="dxa"/>
            <w:vAlign w:val="bottom"/>
          </w:tcPr>
          <w:p>
            <w:pPr>
              <w:spacing w:after="0"/>
              <w:rPr>
                <w:sz w:val="21"/>
                <w:szCs w:val="21"/>
                <w:color w:val="auto"/>
              </w:rPr>
            </w:pPr>
          </w:p>
        </w:tc>
      </w:tr>
      <w:tr>
        <w:trPr>
          <w:trHeight w:val="244"/>
        </w:trPr>
        <w:tc>
          <w:tcPr>
            <w:tcW w:w="7940" w:type="dxa"/>
            <w:vAlign w:val="bottom"/>
            <w:gridSpan w:val="2"/>
            <w:shd w:val="clear" w:color="auto" w:fill="E1E1E1"/>
          </w:tcPr>
          <w:p>
            <w:pPr>
              <w:spacing w:after="0"/>
              <w:rPr>
                <w:sz w:val="20"/>
                <w:szCs w:val="20"/>
                <w:color w:val="auto"/>
              </w:rPr>
            </w:pPr>
            <w:r>
              <w:rPr>
                <w:rFonts w:ascii="Times New Roman" w:cs="Times New Roman" w:eastAsia="Times New Roman" w:hAnsi="Times New Roman"/>
                <w:sz w:val="20"/>
                <w:szCs w:val="20"/>
                <w:color w:val="1E1E1E"/>
              </w:rPr>
              <w:t>Expired</w:t>
            </w:r>
          </w:p>
        </w:tc>
        <w:tc>
          <w:tcPr>
            <w:tcW w:w="640" w:type="dxa"/>
            <w:vAlign w:val="bottom"/>
            <w:gridSpan w:val="2"/>
            <w:shd w:val="clear" w:color="auto" w:fill="E1E1E1"/>
          </w:tcPr>
          <w:p>
            <w:pPr>
              <w:jc w:val="right"/>
              <w:ind w:right="120"/>
              <w:spacing w:after="0"/>
              <w:rPr>
                <w:sz w:val="20"/>
                <w:szCs w:val="20"/>
                <w:color w:val="auto"/>
              </w:rPr>
            </w:pPr>
            <w:r>
              <w:rPr>
                <w:rFonts w:ascii="Times New Roman" w:cs="Times New Roman" w:eastAsia="Times New Roman" w:hAnsi="Times New Roman"/>
                <w:sz w:val="20"/>
                <w:szCs w:val="20"/>
                <w:color w:val="1E1E1E"/>
              </w:rPr>
              <w:t>(0.4)</w:t>
            </w:r>
          </w:p>
        </w:tc>
        <w:tc>
          <w:tcPr>
            <w:tcW w:w="400" w:type="dxa"/>
            <w:vAlign w:val="bottom"/>
            <w:gridSpan w:val="2"/>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10.33</w:t>
            </w:r>
          </w:p>
        </w:tc>
        <w:tc>
          <w:tcPr>
            <w:tcW w:w="60" w:type="dxa"/>
            <w:vAlign w:val="bottom"/>
            <w:shd w:val="clear" w:color="auto" w:fill="E1E1E1"/>
          </w:tcPr>
          <w:p>
            <w:pPr>
              <w:spacing w:after="0"/>
              <w:rPr>
                <w:sz w:val="21"/>
                <w:szCs w:val="21"/>
                <w:color w:val="auto"/>
              </w:rPr>
            </w:pPr>
          </w:p>
        </w:tc>
      </w:tr>
      <w:tr>
        <w:trPr>
          <w:trHeight w:val="244"/>
        </w:trPr>
        <w:tc>
          <w:tcPr>
            <w:tcW w:w="7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Forfeited</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(0.5)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6.68</w:t>
            </w:r>
          </w:p>
        </w:tc>
        <w:tc>
          <w:tcPr>
            <w:tcW w:w="60" w:type="dxa"/>
            <w:vAlign w:val="bottom"/>
          </w:tcPr>
          <w:p>
            <w:pPr>
              <w:spacing w:after="0"/>
              <w:rPr>
                <w:sz w:val="21"/>
                <w:szCs w:val="21"/>
                <w:color w:val="auto"/>
              </w:rPr>
            </w:pPr>
          </w:p>
        </w:tc>
      </w:tr>
      <w:tr>
        <w:trPr>
          <w:trHeight w:val="239"/>
        </w:trPr>
        <w:tc>
          <w:tcPr>
            <w:tcW w:w="634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Non-vested share units at December 31, 2025</w:t>
            </w:r>
          </w:p>
        </w:tc>
        <w:tc>
          <w:tcPr>
            <w:tcW w:w="1600" w:type="dxa"/>
            <w:vAlign w:val="bottom"/>
            <w:tcBorders>
              <w:top w:val="single" w:sz="8" w:color="1E1E1E"/>
              <w:bottom w:val="single" w:sz="8" w:color="1E1E1E"/>
            </w:tcBorders>
            <w:shd w:val="clear" w:color="auto" w:fill="E1E1E1"/>
          </w:tcPr>
          <w:p>
            <w:pPr>
              <w:spacing w:after="0"/>
              <w:rPr>
                <w:sz w:val="20"/>
                <w:szCs w:val="20"/>
                <w:color w:val="auto"/>
              </w:rPr>
            </w:pPr>
          </w:p>
        </w:tc>
        <w:tc>
          <w:tcPr>
            <w:tcW w:w="46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180" w:type="dxa"/>
            <w:vAlign w:val="bottom"/>
            <w:tcBorders>
              <w:top w:val="single" w:sz="8" w:color="E1E1E1"/>
            </w:tcBorders>
            <w:shd w:val="clear" w:color="auto" w:fill="E1E1E1"/>
          </w:tcPr>
          <w:p>
            <w:pPr>
              <w:spacing w:after="0"/>
              <w:rPr>
                <w:sz w:val="20"/>
                <w:szCs w:val="20"/>
                <w:color w:val="auto"/>
              </w:rPr>
            </w:pPr>
          </w:p>
        </w:tc>
        <w:tc>
          <w:tcPr>
            <w:tcW w:w="400" w:type="dxa"/>
            <w:vAlign w:val="bottom"/>
            <w:tcBorders>
              <w:top w:val="single" w:sz="8" w:color="E1E1E1"/>
            </w:tcBorders>
            <w:gridSpan w:val="2"/>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tcBorders>
              <w:top w:val="single" w:sz="8" w:color="E1E1E1"/>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5.77</w:t>
            </w:r>
          </w:p>
        </w:tc>
        <w:tc>
          <w:tcPr>
            <w:tcW w:w="60" w:type="dxa"/>
            <w:vAlign w:val="bottom"/>
            <w:tcBorders>
              <w:top w:val="single" w:sz="8" w:color="E1E1E1"/>
            </w:tcBorders>
            <w:shd w:val="clear" w:color="auto" w:fill="E1E1E1"/>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1600" w:type="dxa"/>
            <w:vAlign w:val="bottom"/>
            <w:tcBorders>
              <w:bottom w:val="single" w:sz="8" w:color="1E1E1E"/>
            </w:tcBorders>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1E1E1E"/>
        </w:rPr>
        <w:t>The weighted average grant date fair value per unit of these awards granted during the years ended December 31, 2025 and 2023 was $6.33 and $6.14, respectively. No PSUs were granted during the year ended December 31, 2024. The total fair value of PSUs that vested during the year ended December 31, 2025 was $16.4 million. No PSUs vested during the year ended December 31, 2024. The total fair value of PSUs that vested during the year ended December 31, 2023, was not material.</w:t>
      </w:r>
    </w:p>
    <w:p>
      <w:pPr>
        <w:spacing w:after="0" w:line="307" w:lineRule="exact"/>
        <w:rPr>
          <w:sz w:val="20"/>
          <w:szCs w:val="20"/>
          <w:color w:val="auto"/>
        </w:rPr>
      </w:pPr>
    </w:p>
    <w:p>
      <w:pPr>
        <w:ind w:left="460" w:hanging="460"/>
        <w:spacing w:after="0"/>
        <w:tabs>
          <w:tab w:leader="none" w:pos="460" w:val="left"/>
        </w:tabs>
        <w:numPr>
          <w:ilvl w:val="0"/>
          <w:numId w:val="66"/>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COMMITMENTS AND CONTINGENCIES</w:t>
      </w:r>
    </w:p>
    <w:p>
      <w:pPr>
        <w:spacing w:after="0" w:line="123"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20"/>
          <w:szCs w:val="20"/>
          <w:color w:val="1E1E1E"/>
        </w:rPr>
        <w:t>The following table summarizes the activity in the product warranty accrual, included in accrued and other liabilities and other noncurrent liabilities: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Borders>
              <w:bottom w:val="single" w:sz="8" w:color="1E1E1E"/>
            </w:tcBorders>
          </w:tcPr>
          <w:p>
            <w:pPr>
              <w:spacing w:after="0"/>
              <w:rPr>
                <w:sz w:val="17"/>
                <w:szCs w:val="17"/>
                <w:color w:val="auto"/>
              </w:rPr>
            </w:pPr>
          </w:p>
        </w:tc>
        <w:tc>
          <w:tcPr>
            <w:tcW w:w="440" w:type="dxa"/>
            <w:vAlign w:val="bottom"/>
            <w:tcBorders>
              <w:bottom w:val="single" w:sz="8" w:color="1E1E1E"/>
            </w:tcBorders>
          </w:tcPr>
          <w:p>
            <w:pPr>
              <w:spacing w:after="0"/>
              <w:rPr>
                <w:sz w:val="17"/>
                <w:szCs w:val="17"/>
                <w:color w:val="auto"/>
              </w:rPr>
            </w:pPr>
          </w:p>
        </w:tc>
        <w:tc>
          <w:tcPr>
            <w:tcW w:w="1900" w:type="dxa"/>
            <w:vAlign w:val="bottom"/>
            <w:tcBorders>
              <w:bottom w:val="single" w:sz="8" w:color="1E1E1E"/>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30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4980" w:type="dxa"/>
            <w:vAlign w:val="bottom"/>
            <w:tcBorders>
              <w:bottom w:val="single" w:sz="8" w:color="E1E1E1"/>
            </w:tcBorders>
          </w:tcPr>
          <w:p>
            <w:pPr>
              <w:spacing w:after="0"/>
              <w:rPr>
                <w:sz w:val="16"/>
                <w:szCs w:val="16"/>
                <w:color w:val="auto"/>
              </w:rPr>
            </w:pPr>
          </w:p>
        </w:tc>
        <w:tc>
          <w:tcPr>
            <w:tcW w:w="1300" w:type="dxa"/>
            <w:vAlign w:val="bottom"/>
            <w:tcBorders>
              <w:bottom w:val="single" w:sz="8" w:color="E1E1E1"/>
            </w:tcBorders>
          </w:tcPr>
          <w:p>
            <w:pPr>
              <w:spacing w:after="0"/>
              <w:rPr>
                <w:sz w:val="16"/>
                <w:szCs w:val="16"/>
                <w:color w:val="auto"/>
              </w:rPr>
            </w:pPr>
          </w:p>
        </w:tc>
        <w:tc>
          <w:tcPr>
            <w:tcW w:w="8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40" w:type="dxa"/>
            <w:vAlign w:val="bottom"/>
            <w:tcBorders>
              <w:bottom w:val="single" w:sz="8" w:color="1E1E1E"/>
            </w:tcBorders>
          </w:tcPr>
          <w:p>
            <w:pPr>
              <w:spacing w:after="0"/>
              <w:rPr>
                <w:sz w:val="16"/>
                <w:szCs w:val="16"/>
                <w:color w:val="auto"/>
              </w:rPr>
            </w:pPr>
          </w:p>
        </w:tc>
        <w:tc>
          <w:tcPr>
            <w:tcW w:w="320" w:type="dxa"/>
            <w:vAlign w:val="bottom"/>
            <w:tcBorders>
              <w:bottom w:val="single" w:sz="8" w:color="E1E1E1"/>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1000" w:type="dxa"/>
            <w:vAlign w:val="bottom"/>
            <w:tcBorders>
              <w:bottom w:val="single" w:sz="8" w:color="1E1E1E"/>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300" w:type="dxa"/>
            <w:vAlign w:val="bottom"/>
            <w:tcBorders>
              <w:bottom w:val="single" w:sz="8" w:color="E1E1E1"/>
            </w:tcBorders>
          </w:tcPr>
          <w:p>
            <w:pPr>
              <w:spacing w:after="0"/>
              <w:rPr>
                <w:sz w:val="16"/>
                <w:szCs w:val="16"/>
                <w:color w:val="auto"/>
              </w:rPr>
            </w:pPr>
          </w:p>
        </w:tc>
        <w:tc>
          <w:tcPr>
            <w:tcW w:w="300" w:type="dxa"/>
            <w:vAlign w:val="bottom"/>
            <w:tcBorders>
              <w:bottom w:val="single" w:sz="8" w:color="1E1E1E"/>
            </w:tcBorders>
          </w:tcPr>
          <w:p>
            <w:pPr>
              <w:spacing w:after="0"/>
              <w:rPr>
                <w:sz w:val="16"/>
                <w:szCs w:val="16"/>
                <w:color w:val="auto"/>
              </w:rPr>
            </w:pPr>
          </w:p>
        </w:tc>
        <w:tc>
          <w:tcPr>
            <w:tcW w:w="980" w:type="dxa"/>
            <w:vAlign w:val="bottom"/>
            <w:tcBorders>
              <w:bottom w:val="single" w:sz="8" w:color="1E1E1E"/>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1E1E1"/>
            </w:tcBorders>
          </w:tcPr>
          <w:p>
            <w:pPr>
              <w:spacing w:after="0"/>
              <w:rPr>
                <w:sz w:val="16"/>
                <w:szCs w:val="16"/>
                <w:color w:val="auto"/>
              </w:rPr>
            </w:pPr>
          </w:p>
        </w:tc>
      </w:tr>
      <w:tr>
        <w:trPr>
          <w:trHeight w:val="239"/>
        </w:trPr>
        <w:tc>
          <w:tcPr>
            <w:tcW w:w="49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Product warranty accrual, beginning of period</w:t>
            </w:r>
          </w:p>
        </w:tc>
        <w:tc>
          <w:tcPr>
            <w:tcW w:w="1300" w:type="dxa"/>
            <w:vAlign w:val="bottom"/>
            <w:shd w:val="clear" w:color="auto" w:fill="E1E1E1"/>
          </w:tcPr>
          <w:p>
            <w:pPr>
              <w:spacing w:after="0"/>
              <w:rPr>
                <w:sz w:val="20"/>
                <w:szCs w:val="20"/>
                <w:color w:val="auto"/>
              </w:rPr>
            </w:pPr>
          </w:p>
        </w:tc>
        <w:tc>
          <w:tcPr>
            <w:tcW w:w="820" w:type="dxa"/>
            <w:vAlign w:val="bottom"/>
            <w:shd w:val="clear" w:color="auto" w:fill="E1E1E1"/>
          </w:tcPr>
          <w:p>
            <w:pPr>
              <w:jc w:val="right"/>
              <w:ind w:right="627"/>
              <w:spacing w:after="0"/>
              <w:rPr>
                <w:sz w:val="20"/>
                <w:szCs w:val="20"/>
                <w:color w:val="auto"/>
              </w:rPr>
            </w:pPr>
            <w:r>
              <w:rPr>
                <w:rFonts w:ascii="Times New Roman" w:cs="Times New Roman" w:eastAsia="Times New Roman" w:hAnsi="Times New Roman"/>
                <w:sz w:val="20"/>
                <w:szCs w:val="20"/>
                <w:color w:val="1E1E1E"/>
                <w:w w:val="79"/>
              </w:rPr>
              <w:t>$</w:t>
            </w:r>
          </w:p>
        </w:tc>
        <w:tc>
          <w:tcPr>
            <w:tcW w:w="4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320" w:type="dxa"/>
            <w:vAlign w:val="bottom"/>
            <w:shd w:val="clear" w:color="auto" w:fill="E1E1E1"/>
          </w:tcPr>
          <w:p>
            <w:pPr>
              <w:spacing w:after="0"/>
              <w:rPr>
                <w:sz w:val="20"/>
                <w:szCs w:val="20"/>
                <w:color w:val="auto"/>
              </w:rPr>
            </w:pPr>
          </w:p>
        </w:tc>
        <w:tc>
          <w:tcPr>
            <w:tcW w:w="280" w:type="dxa"/>
            <w:vAlign w:val="bottom"/>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16.0</w:t>
            </w:r>
          </w:p>
        </w:tc>
        <w:tc>
          <w:tcPr>
            <w:tcW w:w="300" w:type="dxa"/>
            <w:vAlign w:val="bottom"/>
            <w:shd w:val="clear" w:color="auto" w:fill="E1E1E1"/>
          </w:tcPr>
          <w:p>
            <w:pPr>
              <w:spacing w:after="0"/>
              <w:rPr>
                <w:sz w:val="20"/>
                <w:szCs w:val="20"/>
                <w:color w:val="auto"/>
              </w:rPr>
            </w:pPr>
          </w:p>
        </w:tc>
        <w:tc>
          <w:tcPr>
            <w:tcW w:w="300" w:type="dxa"/>
            <w:vAlign w:val="bottom"/>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23.8</w:t>
            </w:r>
          </w:p>
        </w:tc>
        <w:tc>
          <w:tcPr>
            <w:tcW w:w="80" w:type="dxa"/>
            <w:vAlign w:val="bottom"/>
            <w:shd w:val="clear" w:color="auto" w:fill="E1E1E1"/>
          </w:tcPr>
          <w:p>
            <w:pPr>
              <w:spacing w:after="0"/>
              <w:rPr>
                <w:sz w:val="20"/>
                <w:szCs w:val="20"/>
                <w:color w:val="auto"/>
              </w:rPr>
            </w:pPr>
          </w:p>
        </w:tc>
      </w:tr>
      <w:tr>
        <w:trPr>
          <w:trHeight w:val="24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1E1E1E"/>
              </w:rPr>
              <w:t>Provision for warranty claims</w:t>
            </w:r>
          </w:p>
        </w:tc>
        <w:tc>
          <w:tcPr>
            <w:tcW w:w="1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80" w:type="dxa"/>
            <w:vAlign w:val="bottom"/>
          </w:tcPr>
          <w:p>
            <w:pPr>
              <w:spacing w:after="0"/>
              <w:rPr>
                <w:sz w:val="21"/>
                <w:szCs w:val="21"/>
                <w:color w:val="auto"/>
              </w:rPr>
            </w:pPr>
          </w:p>
        </w:tc>
      </w:tr>
      <w:tr>
        <w:trPr>
          <w:trHeight w:val="244"/>
        </w:trPr>
        <w:tc>
          <w:tcPr>
            <w:tcW w:w="498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Warranty claims paid</w:t>
            </w:r>
          </w:p>
        </w:tc>
        <w:tc>
          <w:tcPr>
            <w:tcW w:w="1300" w:type="dxa"/>
            <w:vAlign w:val="bottom"/>
            <w:shd w:val="clear" w:color="auto" w:fill="E1E1E1"/>
          </w:tcPr>
          <w:p>
            <w:pPr>
              <w:spacing w:after="0"/>
              <w:rPr>
                <w:sz w:val="21"/>
                <w:szCs w:val="21"/>
                <w:color w:val="auto"/>
              </w:rPr>
            </w:pPr>
          </w:p>
        </w:tc>
        <w:tc>
          <w:tcPr>
            <w:tcW w:w="820" w:type="dxa"/>
            <w:vAlign w:val="bottom"/>
            <w:shd w:val="clear" w:color="auto" w:fill="E1E1E1"/>
          </w:tcPr>
          <w:p>
            <w:pPr>
              <w:spacing w:after="0"/>
              <w:rPr>
                <w:sz w:val="21"/>
                <w:szCs w:val="21"/>
                <w:color w:val="auto"/>
              </w:rPr>
            </w:pPr>
          </w:p>
        </w:tc>
        <w:tc>
          <w:tcPr>
            <w:tcW w:w="760" w:type="dxa"/>
            <w:vAlign w:val="bottom"/>
            <w:gridSpan w:val="2"/>
            <w:shd w:val="clear" w:color="auto" w:fill="E1E1E1"/>
          </w:tcPr>
          <w:p>
            <w:pPr>
              <w:jc w:val="right"/>
              <w:ind w:right="160"/>
              <w:spacing w:after="0"/>
              <w:rPr>
                <w:sz w:val="20"/>
                <w:szCs w:val="20"/>
                <w:color w:val="auto"/>
              </w:rPr>
            </w:pPr>
            <w:r>
              <w:rPr>
                <w:rFonts w:ascii="Times New Roman" w:cs="Times New Roman" w:eastAsia="Times New Roman" w:hAnsi="Times New Roman"/>
                <w:sz w:val="20"/>
                <w:szCs w:val="20"/>
                <w:color w:val="1E1E1E"/>
              </w:rPr>
              <w:t>(10.2)</w:t>
            </w:r>
          </w:p>
        </w:tc>
        <w:tc>
          <w:tcPr>
            <w:tcW w:w="280" w:type="dxa"/>
            <w:vAlign w:val="bottom"/>
            <w:shd w:val="clear" w:color="auto" w:fill="E1E1E1"/>
          </w:tcPr>
          <w:p>
            <w:pPr>
              <w:spacing w:after="0"/>
              <w:rPr>
                <w:sz w:val="21"/>
                <w:szCs w:val="21"/>
                <w:color w:val="auto"/>
              </w:rPr>
            </w:pPr>
          </w:p>
        </w:tc>
        <w:tc>
          <w:tcPr>
            <w:tcW w:w="1300" w:type="dxa"/>
            <w:vAlign w:val="bottom"/>
            <w:gridSpan w:val="2"/>
            <w:shd w:val="clear" w:color="auto" w:fill="E1E1E1"/>
          </w:tcPr>
          <w:p>
            <w:pPr>
              <w:jc w:val="right"/>
              <w:ind w:right="240"/>
              <w:spacing w:after="0"/>
              <w:rPr>
                <w:sz w:val="20"/>
                <w:szCs w:val="20"/>
                <w:color w:val="auto"/>
              </w:rPr>
            </w:pPr>
            <w:r>
              <w:rPr>
                <w:rFonts w:ascii="Times New Roman" w:cs="Times New Roman" w:eastAsia="Times New Roman" w:hAnsi="Times New Roman"/>
                <w:sz w:val="20"/>
                <w:szCs w:val="20"/>
                <w:color w:val="1E1E1E"/>
              </w:rPr>
              <w:t>(15.5)</w:t>
            </w:r>
          </w:p>
        </w:tc>
        <w:tc>
          <w:tcPr>
            <w:tcW w:w="300" w:type="dxa"/>
            <w:vAlign w:val="bottom"/>
            <w:shd w:val="clear" w:color="auto" w:fill="E1E1E1"/>
          </w:tcPr>
          <w:p>
            <w:pPr>
              <w:spacing w:after="0"/>
              <w:rPr>
                <w:sz w:val="21"/>
                <w:szCs w:val="21"/>
                <w:color w:val="auto"/>
              </w:rPr>
            </w:pPr>
          </w:p>
        </w:tc>
        <w:tc>
          <w:tcPr>
            <w:tcW w:w="106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(12.3)</w:t>
            </w:r>
          </w:p>
        </w:tc>
      </w:tr>
      <w:tr>
        <w:trPr>
          <w:trHeight w:val="24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1E1E1E"/>
              </w:rPr>
              <w:t>Foreign exchange</w:t>
            </w:r>
          </w:p>
        </w:tc>
        <w:tc>
          <w:tcPr>
            <w:tcW w:w="1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80" w:type="dxa"/>
            <w:vAlign w:val="bottom"/>
          </w:tcPr>
          <w:p>
            <w:pPr>
              <w:spacing w:after="0"/>
              <w:rPr>
                <w:sz w:val="21"/>
                <w:szCs w:val="21"/>
                <w:color w:val="auto"/>
              </w:rPr>
            </w:pPr>
          </w:p>
        </w:tc>
      </w:tr>
      <w:tr>
        <w:trPr>
          <w:trHeight w:val="239"/>
        </w:trPr>
        <w:tc>
          <w:tcPr>
            <w:tcW w:w="498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Product warranty accrual, end of period</w:t>
            </w:r>
          </w:p>
        </w:tc>
        <w:tc>
          <w:tcPr>
            <w:tcW w:w="1300" w:type="dxa"/>
            <w:vAlign w:val="bottom"/>
            <w:tcBorders>
              <w:top w:val="single" w:sz="8" w:color="E1E1E1"/>
            </w:tcBorders>
            <w:shd w:val="clear" w:color="auto" w:fill="E1E1E1"/>
          </w:tcPr>
          <w:p>
            <w:pPr>
              <w:spacing w:after="0"/>
              <w:rPr>
                <w:sz w:val="20"/>
                <w:szCs w:val="20"/>
                <w:color w:val="auto"/>
              </w:rPr>
            </w:pPr>
          </w:p>
        </w:tc>
        <w:tc>
          <w:tcPr>
            <w:tcW w:w="820" w:type="dxa"/>
            <w:vAlign w:val="bottom"/>
            <w:tcBorders>
              <w:top w:val="single" w:sz="8" w:color="1E1E1E"/>
              <w:bottom w:val="single" w:sz="8" w:color="1E1E1E"/>
            </w:tcBorders>
            <w:shd w:val="clear" w:color="auto" w:fill="E1E1E1"/>
          </w:tcPr>
          <w:p>
            <w:pPr>
              <w:jc w:val="right"/>
              <w:ind w:right="627"/>
              <w:spacing w:after="0"/>
              <w:rPr>
                <w:sz w:val="20"/>
                <w:szCs w:val="20"/>
                <w:color w:val="auto"/>
              </w:rPr>
            </w:pPr>
            <w:r>
              <w:rPr>
                <w:rFonts w:ascii="Times New Roman" w:cs="Times New Roman" w:eastAsia="Times New Roman" w:hAnsi="Times New Roman"/>
                <w:sz w:val="20"/>
                <w:szCs w:val="20"/>
                <w:color w:val="1E1E1E"/>
                <w:w w:val="79"/>
              </w:rPr>
              <w:t>$</w:t>
            </w:r>
          </w:p>
        </w:tc>
        <w:tc>
          <w:tcPr>
            <w:tcW w:w="44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18.2</w:t>
            </w:r>
          </w:p>
        </w:tc>
        <w:tc>
          <w:tcPr>
            <w:tcW w:w="320" w:type="dxa"/>
            <w:vAlign w:val="bottom"/>
            <w:tcBorders>
              <w:top w:val="single" w:sz="8" w:color="E1E1E1"/>
            </w:tcBorders>
            <w:shd w:val="clear" w:color="auto" w:fill="E1E1E1"/>
          </w:tcPr>
          <w:p>
            <w:pPr>
              <w:spacing w:after="0"/>
              <w:rPr>
                <w:sz w:val="20"/>
                <w:szCs w:val="20"/>
                <w:color w:val="auto"/>
              </w:rPr>
            </w:pPr>
          </w:p>
        </w:tc>
        <w:tc>
          <w:tcPr>
            <w:tcW w:w="280" w:type="dxa"/>
            <w:vAlign w:val="bottom"/>
            <w:tcBorders>
              <w:top w:val="single" w:sz="8" w:color="1E1E1E"/>
              <w:bottom w:val="single" w:sz="8" w:color="1E1E1E"/>
            </w:tcBorders>
            <w:shd w:val="clear" w:color="auto" w:fill="E1E1E1"/>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300" w:type="dxa"/>
            <w:vAlign w:val="bottom"/>
            <w:tcBorders>
              <w:top w:val="single" w:sz="8" w:color="E1E1E1"/>
            </w:tcBorders>
            <w:shd w:val="clear" w:color="auto" w:fill="E1E1E1"/>
          </w:tcPr>
          <w:p>
            <w:pPr>
              <w:spacing w:after="0"/>
              <w:rPr>
                <w:sz w:val="20"/>
                <w:szCs w:val="20"/>
                <w:color w:val="auto"/>
              </w:rPr>
            </w:pPr>
          </w:p>
        </w:tc>
        <w:tc>
          <w:tcPr>
            <w:tcW w:w="300" w:type="dxa"/>
            <w:vAlign w:val="bottom"/>
            <w:tcBorders>
              <w:top w:val="single" w:sz="8" w:color="1E1E1E"/>
              <w:bottom w:val="single" w:sz="8" w:color="1E1E1E"/>
            </w:tcBorders>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16.0</w:t>
            </w:r>
          </w:p>
        </w:tc>
        <w:tc>
          <w:tcPr>
            <w:tcW w:w="80" w:type="dxa"/>
            <w:vAlign w:val="bottom"/>
            <w:tcBorders>
              <w:top w:val="single" w:sz="8" w:color="E1E1E1"/>
            </w:tcBorders>
            <w:shd w:val="clear" w:color="auto" w:fill="E1E1E1"/>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44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94</w:t>
      </w:r>
    </w:p>
    <w:p>
      <w:pPr>
        <w:sectPr>
          <w:pgSz w:w="11880" w:h="15480" w:orient="portrait"/>
          <w:cols w:equalWidth="0" w:num="1">
            <w:col w:w="10800"/>
          </w:cols>
          <w:pgMar w:left="540" w:top="515" w:right="54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Legal Proceedings</w:t>
      </w:r>
    </w:p>
    <w:p>
      <w:pPr>
        <w:spacing w:after="0" w:line="12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1E1E1E"/>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intellectual property claims. Gain contingencies, if any, are recognized when they are realized.</w:t>
      </w:r>
    </w:p>
    <w:p>
      <w:pPr>
        <w:spacing w:after="0" w:line="20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1E1E1E"/>
        </w:rPr>
        <w:t>The Company is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85"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20"/>
          <w:szCs w:val="20"/>
          <w:color w:val="1E1E1E"/>
        </w:rPr>
        <w:t>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302" w:lineRule="exact"/>
        <w:rPr>
          <w:sz w:val="20"/>
          <w:szCs w:val="20"/>
          <w:color w:val="auto"/>
        </w:rPr>
      </w:pPr>
    </w:p>
    <w:p>
      <w:pPr>
        <w:ind w:right="620"/>
        <w:spacing w:after="0" w:line="287" w:lineRule="auto"/>
        <w:tabs>
          <w:tab w:leader="none" w:pos="450" w:val="left"/>
        </w:tabs>
        <w:numPr>
          <w:ilvl w:val="0"/>
          <w:numId w:val="6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INDUSTRY SEGMENTS, MAJOR CUSTOMERS, RELATED PARTY TRANSACTIONS AND GEOGRAPHIC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Segment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is a brief description of the activities of the Company's reportable segments: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b w:val="1"/>
          <w:bCs w:val="1"/>
          <w:color w:val="1E1E1E"/>
        </w:rPr>
        <w:t xml:space="preserve">RUCKUS </w:t>
      </w:r>
      <w:r>
        <w:rPr>
          <w:rFonts w:ascii="Times New Roman" w:cs="Times New Roman" w:eastAsia="Times New Roman" w:hAnsi="Times New Roman"/>
          <w:sz w:val="20"/>
          <w:szCs w:val="20"/>
          <w:color w:val="1E1E1E"/>
        </w:rPr>
        <w:t>- The segment provides wireless networks for enterprises and service providers. Product offerings include indoor cellular</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solutions such as indoor and outdoor Wi-Fi and long-term evolution (LTE) access points, access and aggregation switches; an Internet of Things suite, on-premises and cloud-based control and management systems; and software and software-as-a-service applications addressing security, location, reporting and analytics.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b w:val="1"/>
          <w:bCs w:val="1"/>
          <w:color w:val="1E1E1E"/>
        </w:rPr>
        <w:t xml:space="preserve">Aurora </w:t>
      </w:r>
      <w:r>
        <w:rPr>
          <w:rFonts w:ascii="Times New Roman" w:cs="Times New Roman" w:eastAsia="Times New Roman" w:hAnsi="Times New Roman"/>
          <w:sz w:val="20"/>
          <w:szCs w:val="20"/>
          <w:color w:val="1E1E1E"/>
        </w:rPr>
        <w:t>- The segment’s product solutions include cable modem termination systems, video infrastructure, public key infrastructure</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solutions, distribution and transmission equipment and cloud solutions that enable facility-based service providers to construct a state-of-the-art residential and metro distribution network.</w:t>
      </w:r>
    </w:p>
    <w:p>
      <w:pPr>
        <w:spacing w:after="0" w:line="183" w:lineRule="exact"/>
        <w:rPr>
          <w:sz w:val="20"/>
          <w:szCs w:val="20"/>
          <w:color w:val="auto"/>
        </w:rPr>
      </w:pPr>
    </w:p>
    <w:p>
      <w:pPr>
        <w:ind w:right="80"/>
        <w:spacing w:after="0" w:line="501" w:lineRule="auto"/>
        <w:rPr>
          <w:sz w:val="20"/>
          <w:szCs w:val="20"/>
          <w:color w:val="auto"/>
        </w:rPr>
      </w:pPr>
      <w:r>
        <w:rPr>
          <w:rFonts w:ascii="Times New Roman" w:cs="Times New Roman" w:eastAsia="Times New Roman" w:hAnsi="Times New Roman"/>
          <w:sz w:val="20"/>
          <w:szCs w:val="20"/>
          <w:color w:val="1E1E1E"/>
        </w:rPr>
        <w:t>Refer to Note 1 for discussion of product shifts and divestitures impacting the Company’s operating and reportable segment structure. The following table provides summary financial information by reportable segment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4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6200" w:type="dxa"/>
            <w:vAlign w:val="bottom"/>
            <w:tcBorders>
              <w:bottom w:val="single" w:sz="8" w:color="E1E1E1"/>
            </w:tcBorders>
          </w:tcPr>
          <w:p>
            <w:pPr>
              <w:spacing w:after="0"/>
              <w:rPr>
                <w:sz w:val="16"/>
                <w:szCs w:val="16"/>
                <w:color w:val="auto"/>
              </w:rPr>
            </w:pPr>
          </w:p>
        </w:tc>
        <w:tc>
          <w:tcPr>
            <w:tcW w:w="20" w:type="dxa"/>
            <w:vAlign w:val="bottom"/>
            <w:tcBorders>
              <w:bottom w:val="single" w:sz="8" w:color="E1E1E1"/>
            </w:tcBorders>
          </w:tcPr>
          <w:p>
            <w:pPr>
              <w:spacing w:after="0"/>
              <w:rPr>
                <w:sz w:val="16"/>
                <w:szCs w:val="16"/>
                <w:color w:val="auto"/>
              </w:rPr>
            </w:pPr>
          </w:p>
        </w:tc>
        <w:tc>
          <w:tcPr>
            <w:tcW w:w="1280" w:type="dxa"/>
            <w:vAlign w:val="bottom"/>
            <w:tcBorders>
              <w:top w:val="single" w:sz="8" w:color="1E1E1E"/>
              <w:bottom w:val="single" w:sz="8" w:color="1E1E1E"/>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760" w:type="dxa"/>
            <w:vAlign w:val="bottom"/>
            <w:tcBorders>
              <w:top w:val="single" w:sz="8" w:color="1E1E1E"/>
              <w:bottom w:val="single" w:sz="8" w:color="1E1E1E"/>
            </w:tcBorders>
          </w:tcPr>
          <w:p>
            <w:pPr>
              <w:spacing w:after="0"/>
              <w:rPr>
                <w:sz w:val="16"/>
                <w:szCs w:val="16"/>
                <w:color w:val="auto"/>
              </w:rPr>
            </w:pPr>
          </w:p>
        </w:tc>
        <w:tc>
          <w:tcPr>
            <w:tcW w:w="100" w:type="dxa"/>
            <w:vAlign w:val="bottom"/>
            <w:tcBorders>
              <w:bottom w:val="single" w:sz="8" w:color="E1E1E1"/>
            </w:tcBorders>
          </w:tcPr>
          <w:p>
            <w:pPr>
              <w:spacing w:after="0"/>
              <w:rPr>
                <w:sz w:val="16"/>
                <w:szCs w:val="16"/>
                <w:color w:val="auto"/>
              </w:rPr>
            </w:pPr>
          </w:p>
        </w:tc>
        <w:tc>
          <w:tcPr>
            <w:tcW w:w="320" w:type="dxa"/>
            <w:vAlign w:val="bottom"/>
            <w:tcBorders>
              <w:top w:val="single" w:sz="8" w:color="1E1E1E"/>
              <w:bottom w:val="single" w:sz="8" w:color="E1E1E1"/>
            </w:tcBorders>
          </w:tcPr>
          <w:p>
            <w:pPr>
              <w:spacing w:after="0"/>
              <w:rPr>
                <w:sz w:val="16"/>
                <w:szCs w:val="16"/>
                <w:color w:val="auto"/>
              </w:rPr>
            </w:pPr>
          </w:p>
        </w:tc>
        <w:tc>
          <w:tcPr>
            <w:tcW w:w="560" w:type="dxa"/>
            <w:vAlign w:val="bottom"/>
            <w:tcBorders>
              <w:top w:val="single" w:sz="8" w:color="1E1E1E"/>
              <w:bottom w:val="single" w:sz="8" w:color="1E1E1E"/>
            </w:tcBorders>
          </w:tcPr>
          <w:p>
            <w:pPr>
              <w:spacing w:after="0"/>
              <w:rPr>
                <w:sz w:val="16"/>
                <w:szCs w:val="16"/>
                <w:color w:val="auto"/>
              </w:rPr>
            </w:pPr>
          </w:p>
        </w:tc>
        <w:tc>
          <w:tcPr>
            <w:tcW w:w="1500" w:type="dxa"/>
            <w:vAlign w:val="bottom"/>
            <w:tcBorders>
              <w:top w:val="single" w:sz="8" w:color="1E1E1E"/>
              <w:bottom w:val="single" w:sz="8" w:color="1E1E1E"/>
            </w:tcBorders>
          </w:tcPr>
          <w:p>
            <w:pPr>
              <w:jc w:val="right"/>
              <w:ind w:right="78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0" w:type="dxa"/>
            <w:vAlign w:val="bottom"/>
            <w:tcBorders>
              <w:bottom w:val="single" w:sz="8" w:color="E1E1E1"/>
            </w:tcBorders>
          </w:tcPr>
          <w:p>
            <w:pPr>
              <w:spacing w:after="0"/>
              <w:rPr>
                <w:sz w:val="16"/>
                <w:szCs w:val="16"/>
                <w:color w:val="auto"/>
              </w:rPr>
            </w:pPr>
          </w:p>
        </w:tc>
      </w:tr>
      <w:tr>
        <w:trPr>
          <w:trHeight w:val="239"/>
        </w:trPr>
        <w:tc>
          <w:tcPr>
            <w:tcW w:w="6200" w:type="dxa"/>
            <w:vAlign w:val="bottom"/>
            <w:shd w:val="clear" w:color="auto" w:fill="E1E1E1"/>
          </w:tcPr>
          <w:p>
            <w:pPr>
              <w:spacing w:after="0" w:line="238" w:lineRule="exact"/>
              <w:rPr>
                <w:sz w:val="20"/>
                <w:szCs w:val="20"/>
                <w:color w:val="auto"/>
              </w:rPr>
            </w:pPr>
            <w:r>
              <w:rPr>
                <w:rFonts w:ascii="Times New Roman" w:cs="Times New Roman" w:eastAsia="Times New Roman" w:hAnsi="Times New Roman"/>
                <w:sz w:val="20"/>
                <w:szCs w:val="20"/>
                <w:color w:val="1E1E1E"/>
              </w:rPr>
              <w:t xml:space="preserve">Identifiable segment-related assets: </w:t>
            </w:r>
            <w:r>
              <w:rPr>
                <w:rFonts w:ascii="Times New Roman" w:cs="Times New Roman" w:eastAsia="Times New Roman" w:hAnsi="Times New Roman"/>
                <w:sz w:val="26"/>
                <w:szCs w:val="26"/>
                <w:color w:val="1E1E1E"/>
                <w:vertAlign w:val="superscript"/>
              </w:rPr>
              <w:t>(1)</w:t>
            </w:r>
          </w:p>
        </w:tc>
        <w:tc>
          <w:tcPr>
            <w:tcW w:w="20" w:type="dxa"/>
            <w:vAlign w:val="bottom"/>
            <w:shd w:val="clear" w:color="auto" w:fill="E1E1E1"/>
          </w:tcPr>
          <w:p>
            <w:pPr>
              <w:spacing w:after="0"/>
              <w:rPr>
                <w:sz w:val="20"/>
                <w:szCs w:val="20"/>
                <w:color w:val="auto"/>
              </w:rPr>
            </w:pPr>
          </w:p>
        </w:tc>
        <w:tc>
          <w:tcPr>
            <w:tcW w:w="1280" w:type="dxa"/>
            <w:vAlign w:val="bottom"/>
            <w:shd w:val="clear" w:color="auto" w:fill="E1E1E1"/>
          </w:tcPr>
          <w:p>
            <w:pPr>
              <w:spacing w:after="0"/>
              <w:rPr>
                <w:sz w:val="20"/>
                <w:szCs w:val="20"/>
                <w:color w:val="auto"/>
              </w:rPr>
            </w:pPr>
          </w:p>
        </w:tc>
        <w:tc>
          <w:tcPr>
            <w:tcW w:w="76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320" w:type="dxa"/>
            <w:vAlign w:val="bottom"/>
            <w:shd w:val="clear" w:color="auto" w:fill="E1E1E1"/>
          </w:tcPr>
          <w:p>
            <w:pPr>
              <w:spacing w:after="0"/>
              <w:rPr>
                <w:sz w:val="20"/>
                <w:szCs w:val="20"/>
                <w:color w:val="auto"/>
              </w:rPr>
            </w:pPr>
          </w:p>
        </w:tc>
        <w:tc>
          <w:tcPr>
            <w:tcW w:w="560" w:type="dxa"/>
            <w:vAlign w:val="bottom"/>
            <w:shd w:val="clear" w:color="auto" w:fill="E1E1E1"/>
          </w:tcPr>
          <w:p>
            <w:pPr>
              <w:spacing w:after="0"/>
              <w:rPr>
                <w:sz w:val="20"/>
                <w:szCs w:val="20"/>
                <w:color w:val="auto"/>
              </w:rPr>
            </w:pPr>
          </w:p>
        </w:tc>
        <w:tc>
          <w:tcPr>
            <w:tcW w:w="1500" w:type="dxa"/>
            <w:vAlign w:val="bottom"/>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r>
      <w:tr>
        <w:trPr>
          <w:trHeight w:val="244"/>
        </w:trPr>
        <w:tc>
          <w:tcPr>
            <w:tcW w:w="62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RUCKUS</w:t>
            </w:r>
          </w:p>
        </w:tc>
        <w:tc>
          <w:tcPr>
            <w:tcW w:w="20" w:type="dxa"/>
            <w:vAlign w:val="bottom"/>
          </w:tcPr>
          <w:p>
            <w:pPr>
              <w:spacing w:after="0"/>
              <w:rPr>
                <w:sz w:val="21"/>
                <w:szCs w:val="21"/>
                <w:color w:val="auto"/>
              </w:rPr>
            </w:pPr>
          </w:p>
        </w:tc>
        <w:tc>
          <w:tcPr>
            <w:tcW w:w="1280" w:type="dxa"/>
            <w:vAlign w:val="bottom"/>
          </w:tcPr>
          <w:p>
            <w:pPr>
              <w:jc w:val="right"/>
              <w:ind w:right="1117"/>
              <w:spacing w:after="0"/>
              <w:rPr>
                <w:sz w:val="20"/>
                <w:szCs w:val="20"/>
                <w:color w:val="auto"/>
              </w:rPr>
            </w:pPr>
            <w:r>
              <w:rPr>
                <w:rFonts w:ascii="Times New Roman" w:cs="Times New Roman" w:eastAsia="Times New Roman" w:hAnsi="Times New Roman"/>
                <w:sz w:val="17"/>
                <w:szCs w:val="17"/>
                <w:color w:val="1E1E1E"/>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1E1E1E"/>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886.5</w:t>
            </w:r>
          </w:p>
        </w:tc>
        <w:tc>
          <w:tcPr>
            <w:tcW w:w="60" w:type="dxa"/>
            <w:vAlign w:val="bottom"/>
          </w:tcPr>
          <w:p>
            <w:pPr>
              <w:spacing w:after="0"/>
              <w:rPr>
                <w:sz w:val="21"/>
                <w:szCs w:val="21"/>
                <w:color w:val="auto"/>
              </w:rPr>
            </w:pPr>
          </w:p>
        </w:tc>
      </w:tr>
      <w:tr>
        <w:trPr>
          <w:trHeight w:val="244"/>
        </w:trPr>
        <w:tc>
          <w:tcPr>
            <w:tcW w:w="62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Aurora</w:t>
            </w:r>
          </w:p>
        </w:tc>
        <w:tc>
          <w:tcPr>
            <w:tcW w:w="20" w:type="dxa"/>
            <w:vAlign w:val="bottom"/>
            <w:shd w:val="clear" w:color="auto" w:fill="E1E1E1"/>
          </w:tcPr>
          <w:p>
            <w:pPr>
              <w:spacing w:after="0"/>
              <w:rPr>
                <w:sz w:val="21"/>
                <w:szCs w:val="21"/>
                <w:color w:val="auto"/>
              </w:rPr>
            </w:pPr>
          </w:p>
        </w:tc>
        <w:tc>
          <w:tcPr>
            <w:tcW w:w="1280" w:type="dxa"/>
            <w:vAlign w:val="bottom"/>
            <w:tcBorders>
              <w:bottom w:val="single" w:sz="8" w:color="1E1E1E"/>
            </w:tcBorders>
            <w:shd w:val="clear" w:color="auto" w:fill="E1E1E1"/>
          </w:tcPr>
          <w:p>
            <w:pPr>
              <w:spacing w:after="0"/>
              <w:rPr>
                <w:sz w:val="21"/>
                <w:szCs w:val="21"/>
                <w:color w:val="auto"/>
              </w:rPr>
            </w:pPr>
          </w:p>
        </w:tc>
        <w:tc>
          <w:tcPr>
            <w:tcW w:w="7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1,629.3</w:t>
            </w:r>
          </w:p>
        </w:tc>
        <w:tc>
          <w:tcPr>
            <w:tcW w:w="10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560" w:type="dxa"/>
            <w:vAlign w:val="bottom"/>
            <w:tcBorders>
              <w:bottom w:val="single" w:sz="8" w:color="1E1E1E"/>
            </w:tcBorders>
            <w:shd w:val="clear" w:color="auto" w:fill="E1E1E1"/>
          </w:tcPr>
          <w:p>
            <w:pPr>
              <w:spacing w:after="0"/>
              <w:rPr>
                <w:sz w:val="21"/>
                <w:szCs w:val="21"/>
                <w:color w:val="auto"/>
              </w:rPr>
            </w:pPr>
          </w:p>
        </w:tc>
        <w:tc>
          <w:tcPr>
            <w:tcW w:w="15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1,688.9</w:t>
            </w:r>
          </w:p>
        </w:tc>
        <w:tc>
          <w:tcPr>
            <w:tcW w:w="60" w:type="dxa"/>
            <w:vAlign w:val="bottom"/>
            <w:shd w:val="clear" w:color="auto" w:fill="E1E1E1"/>
          </w:tcPr>
          <w:p>
            <w:pPr>
              <w:spacing w:after="0"/>
              <w:rPr>
                <w:sz w:val="21"/>
                <w:szCs w:val="21"/>
                <w:color w:val="auto"/>
              </w:rPr>
            </w:pPr>
          </w:p>
        </w:tc>
      </w:tr>
      <w:tr>
        <w:trPr>
          <w:trHeight w:val="23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1E1E1E"/>
              </w:rPr>
              <w:t>Total identifiable segment-related assets</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2,468.9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2,575.4</w:t>
            </w:r>
          </w:p>
        </w:tc>
        <w:tc>
          <w:tcPr>
            <w:tcW w:w="60" w:type="dxa"/>
            <w:vAlign w:val="bottom"/>
          </w:tcPr>
          <w:p>
            <w:pPr>
              <w:spacing w:after="0"/>
              <w:rPr>
                <w:sz w:val="20"/>
                <w:szCs w:val="20"/>
                <w:color w:val="auto"/>
              </w:rPr>
            </w:pPr>
          </w:p>
        </w:tc>
      </w:tr>
      <w:tr>
        <w:trPr>
          <w:trHeight w:val="244"/>
        </w:trPr>
        <w:tc>
          <w:tcPr>
            <w:tcW w:w="62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Reconciliation to total assets:</w:t>
            </w:r>
          </w:p>
        </w:tc>
        <w:tc>
          <w:tcPr>
            <w:tcW w:w="20" w:type="dxa"/>
            <w:vAlign w:val="bottom"/>
            <w:shd w:val="clear" w:color="auto" w:fill="E1E1E1"/>
          </w:tcPr>
          <w:p>
            <w:pPr>
              <w:spacing w:after="0"/>
              <w:rPr>
                <w:sz w:val="21"/>
                <w:szCs w:val="21"/>
                <w:color w:val="auto"/>
              </w:rPr>
            </w:pPr>
          </w:p>
        </w:tc>
        <w:tc>
          <w:tcPr>
            <w:tcW w:w="1280" w:type="dxa"/>
            <w:vAlign w:val="bottom"/>
            <w:shd w:val="clear" w:color="auto" w:fill="E1E1E1"/>
          </w:tcPr>
          <w:p>
            <w:pPr>
              <w:spacing w:after="0"/>
              <w:rPr>
                <w:sz w:val="21"/>
                <w:szCs w:val="21"/>
                <w:color w:val="auto"/>
              </w:rPr>
            </w:pPr>
          </w:p>
        </w:tc>
        <w:tc>
          <w:tcPr>
            <w:tcW w:w="76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560" w:type="dxa"/>
            <w:vAlign w:val="bottom"/>
            <w:shd w:val="clear" w:color="auto" w:fill="E1E1E1"/>
          </w:tcPr>
          <w:p>
            <w:pPr>
              <w:spacing w:after="0"/>
              <w:rPr>
                <w:sz w:val="21"/>
                <w:szCs w:val="21"/>
                <w:color w:val="auto"/>
              </w:rPr>
            </w:pPr>
          </w:p>
        </w:tc>
        <w:tc>
          <w:tcPr>
            <w:tcW w:w="150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r>
      <w:tr>
        <w:trPr>
          <w:trHeight w:val="244"/>
        </w:trPr>
        <w:tc>
          <w:tcPr>
            <w:tcW w:w="62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404.1</w:t>
            </w:r>
          </w:p>
        </w:tc>
        <w:tc>
          <w:tcPr>
            <w:tcW w:w="60" w:type="dxa"/>
            <w:vAlign w:val="bottom"/>
          </w:tcPr>
          <w:p>
            <w:pPr>
              <w:spacing w:after="0"/>
              <w:rPr>
                <w:sz w:val="21"/>
                <w:szCs w:val="21"/>
                <w:color w:val="auto"/>
              </w:rPr>
            </w:pPr>
          </w:p>
        </w:tc>
      </w:tr>
      <w:tr>
        <w:trPr>
          <w:trHeight w:val="244"/>
        </w:trPr>
        <w:tc>
          <w:tcPr>
            <w:tcW w:w="62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Deferred income tax assets</w:t>
            </w:r>
          </w:p>
        </w:tc>
        <w:tc>
          <w:tcPr>
            <w:tcW w:w="20" w:type="dxa"/>
            <w:vAlign w:val="bottom"/>
            <w:shd w:val="clear" w:color="auto" w:fill="E1E1E1"/>
          </w:tcPr>
          <w:p>
            <w:pPr>
              <w:spacing w:after="0"/>
              <w:rPr>
                <w:sz w:val="21"/>
                <w:szCs w:val="21"/>
                <w:color w:val="auto"/>
              </w:rPr>
            </w:pPr>
          </w:p>
        </w:tc>
        <w:tc>
          <w:tcPr>
            <w:tcW w:w="1280" w:type="dxa"/>
            <w:vAlign w:val="bottom"/>
            <w:shd w:val="clear" w:color="auto" w:fill="E1E1E1"/>
          </w:tcPr>
          <w:p>
            <w:pPr>
              <w:spacing w:after="0"/>
              <w:rPr>
                <w:sz w:val="21"/>
                <w:szCs w:val="21"/>
                <w:color w:val="auto"/>
              </w:rPr>
            </w:pPr>
          </w:p>
        </w:tc>
        <w:tc>
          <w:tcPr>
            <w:tcW w:w="7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1,765.9</w:t>
            </w:r>
          </w:p>
        </w:tc>
        <w:tc>
          <w:tcPr>
            <w:tcW w:w="10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560" w:type="dxa"/>
            <w:vAlign w:val="bottom"/>
            <w:shd w:val="clear" w:color="auto" w:fill="E1E1E1"/>
          </w:tcPr>
          <w:p>
            <w:pPr>
              <w:spacing w:after="0"/>
              <w:rPr>
                <w:sz w:val="21"/>
                <w:szCs w:val="21"/>
                <w:color w:val="auto"/>
              </w:rPr>
            </w:pPr>
          </w:p>
        </w:tc>
        <w:tc>
          <w:tcPr>
            <w:tcW w:w="15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431.5</w:t>
            </w:r>
          </w:p>
        </w:tc>
        <w:tc>
          <w:tcPr>
            <w:tcW w:w="60" w:type="dxa"/>
            <w:vAlign w:val="bottom"/>
            <w:shd w:val="clear" w:color="auto" w:fill="E1E1E1"/>
          </w:tcPr>
          <w:p>
            <w:pPr>
              <w:spacing w:after="0"/>
              <w:rPr>
                <w:sz w:val="21"/>
                <w:szCs w:val="21"/>
                <w:color w:val="auto"/>
              </w:rPr>
            </w:pPr>
          </w:p>
        </w:tc>
      </w:tr>
      <w:tr>
        <w:trPr>
          <w:trHeight w:val="244"/>
        </w:trPr>
        <w:tc>
          <w:tcPr>
            <w:tcW w:w="6200" w:type="dxa"/>
            <w:vAlign w:val="bottom"/>
          </w:tcPr>
          <w:p>
            <w:pPr>
              <w:ind w:left="100"/>
              <w:spacing w:after="0" w:line="243" w:lineRule="exact"/>
              <w:rPr>
                <w:sz w:val="20"/>
                <w:szCs w:val="20"/>
                <w:color w:val="auto"/>
              </w:rPr>
            </w:pPr>
            <w:r>
              <w:rPr>
                <w:rFonts w:ascii="Times New Roman" w:cs="Times New Roman" w:eastAsia="Times New Roman" w:hAnsi="Times New Roman"/>
                <w:sz w:val="20"/>
                <w:szCs w:val="20"/>
                <w:color w:val="1E1E1E"/>
              </w:rPr>
              <w:t xml:space="preserve">Divested and other business assets </w:t>
            </w:r>
            <w:r>
              <w:rPr>
                <w:rFonts w:ascii="Times New Roman" w:cs="Times New Roman" w:eastAsia="Times New Roman" w:hAnsi="Times New Roman"/>
                <w:sz w:val="26"/>
                <w:szCs w:val="26"/>
                <w:color w:val="1E1E1E"/>
                <w:vertAlign w:val="superscript"/>
              </w:rPr>
              <w:t>(2)</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140.4</w:t>
            </w:r>
          </w:p>
        </w:tc>
        <w:tc>
          <w:tcPr>
            <w:tcW w:w="60" w:type="dxa"/>
            <w:vAlign w:val="bottom"/>
          </w:tcPr>
          <w:p>
            <w:pPr>
              <w:spacing w:after="0"/>
              <w:rPr>
                <w:sz w:val="21"/>
                <w:szCs w:val="21"/>
                <w:color w:val="auto"/>
              </w:rPr>
            </w:pPr>
          </w:p>
        </w:tc>
      </w:tr>
      <w:tr>
        <w:trPr>
          <w:trHeight w:val="244"/>
        </w:trPr>
        <w:tc>
          <w:tcPr>
            <w:tcW w:w="620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Assets held for sale</w:t>
            </w:r>
          </w:p>
        </w:tc>
        <w:tc>
          <w:tcPr>
            <w:tcW w:w="20" w:type="dxa"/>
            <w:vAlign w:val="bottom"/>
            <w:shd w:val="clear" w:color="auto" w:fill="E1E1E1"/>
          </w:tcPr>
          <w:p>
            <w:pPr>
              <w:spacing w:after="0"/>
              <w:rPr>
                <w:sz w:val="21"/>
                <w:szCs w:val="21"/>
                <w:color w:val="auto"/>
              </w:rPr>
            </w:pPr>
          </w:p>
        </w:tc>
        <w:tc>
          <w:tcPr>
            <w:tcW w:w="1280" w:type="dxa"/>
            <w:vAlign w:val="bottom"/>
            <w:tcBorders>
              <w:bottom w:val="single" w:sz="8" w:color="1E1E1E"/>
            </w:tcBorders>
            <w:shd w:val="clear" w:color="auto" w:fill="E1E1E1"/>
          </w:tcPr>
          <w:p>
            <w:pPr>
              <w:spacing w:after="0"/>
              <w:rPr>
                <w:sz w:val="21"/>
                <w:szCs w:val="21"/>
                <w:color w:val="auto"/>
              </w:rPr>
            </w:pPr>
          </w:p>
        </w:tc>
        <w:tc>
          <w:tcPr>
            <w:tcW w:w="76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4,324.5</w:t>
            </w:r>
          </w:p>
        </w:tc>
        <w:tc>
          <w:tcPr>
            <w:tcW w:w="100" w:type="dxa"/>
            <w:vAlign w:val="bottom"/>
            <w:shd w:val="clear" w:color="auto" w:fill="E1E1E1"/>
          </w:tcPr>
          <w:p>
            <w:pPr>
              <w:spacing w:after="0"/>
              <w:rPr>
                <w:sz w:val="21"/>
                <w:szCs w:val="21"/>
                <w:color w:val="auto"/>
              </w:rPr>
            </w:pPr>
          </w:p>
        </w:tc>
        <w:tc>
          <w:tcPr>
            <w:tcW w:w="320" w:type="dxa"/>
            <w:vAlign w:val="bottom"/>
            <w:shd w:val="clear" w:color="auto" w:fill="E1E1E1"/>
          </w:tcPr>
          <w:p>
            <w:pPr>
              <w:spacing w:after="0"/>
              <w:rPr>
                <w:sz w:val="21"/>
                <w:szCs w:val="21"/>
                <w:color w:val="auto"/>
              </w:rPr>
            </w:pPr>
          </w:p>
        </w:tc>
        <w:tc>
          <w:tcPr>
            <w:tcW w:w="560" w:type="dxa"/>
            <w:vAlign w:val="bottom"/>
            <w:tcBorders>
              <w:bottom w:val="single" w:sz="8" w:color="1E1E1E"/>
            </w:tcBorders>
            <w:shd w:val="clear" w:color="auto" w:fill="E1E1E1"/>
          </w:tcPr>
          <w:p>
            <w:pPr>
              <w:spacing w:after="0"/>
              <w:rPr>
                <w:sz w:val="21"/>
                <w:szCs w:val="21"/>
                <w:color w:val="auto"/>
              </w:rPr>
            </w:pPr>
          </w:p>
        </w:tc>
        <w:tc>
          <w:tcPr>
            <w:tcW w:w="150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5,196.1</w:t>
            </w:r>
          </w:p>
        </w:tc>
        <w:tc>
          <w:tcPr>
            <w:tcW w:w="60" w:type="dxa"/>
            <w:vAlign w:val="bottom"/>
            <w:shd w:val="clear" w:color="auto" w:fill="E1E1E1"/>
          </w:tcPr>
          <w:p>
            <w:pPr>
              <w:spacing w:after="0"/>
              <w:rPr>
                <w:sz w:val="21"/>
                <w:szCs w:val="21"/>
                <w:color w:val="auto"/>
              </w:rPr>
            </w:pPr>
          </w:p>
        </w:tc>
      </w:tr>
      <w:tr>
        <w:trPr>
          <w:trHeight w:val="23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1E1E1E"/>
              </w:rPr>
              <w:t>Total assets</w:t>
            </w:r>
          </w:p>
        </w:tc>
        <w:tc>
          <w:tcPr>
            <w:tcW w:w="20" w:type="dxa"/>
            <w:vAlign w:val="bottom"/>
          </w:tcPr>
          <w:p>
            <w:pPr>
              <w:spacing w:after="0"/>
              <w:rPr>
                <w:sz w:val="20"/>
                <w:szCs w:val="20"/>
                <w:color w:val="auto"/>
              </w:rPr>
            </w:pPr>
          </w:p>
        </w:tc>
        <w:tc>
          <w:tcPr>
            <w:tcW w:w="1280" w:type="dxa"/>
            <w:vAlign w:val="bottom"/>
            <w:tcBorders>
              <w:bottom w:val="single" w:sz="8" w:color="1E1E1E"/>
            </w:tcBorders>
          </w:tcPr>
          <w:p>
            <w:pPr>
              <w:jc w:val="right"/>
              <w:ind w:right="1117"/>
              <w:spacing w:after="0"/>
              <w:rPr>
                <w:sz w:val="20"/>
                <w:szCs w:val="20"/>
                <w:color w:val="auto"/>
              </w:rPr>
            </w:pPr>
            <w:r>
              <w:rPr>
                <w:rFonts w:ascii="Times New Roman" w:cs="Times New Roman" w:eastAsia="Times New Roman" w:hAnsi="Times New Roman"/>
                <w:sz w:val="17"/>
                <w:szCs w:val="17"/>
                <w:color w:val="1E1E1E"/>
                <w:w w:val="70"/>
              </w:rPr>
              <w:t>$</w:t>
            </w: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9,371.0</w:t>
            </w:r>
          </w:p>
        </w:tc>
        <w:tc>
          <w:tcPr>
            <w:tcW w:w="420" w:type="dxa"/>
            <w:vAlign w:val="bottom"/>
            <w:gridSpan w:val="2"/>
          </w:tcPr>
          <w:p>
            <w:pPr>
              <w:spacing w:after="0"/>
              <w:rPr>
                <w:sz w:val="20"/>
                <w:szCs w:val="20"/>
                <w:color w:val="auto"/>
              </w:rPr>
            </w:pPr>
          </w:p>
        </w:tc>
        <w:tc>
          <w:tcPr>
            <w:tcW w:w="56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w w:val="79"/>
              </w:rPr>
              <w:t>$</w:t>
            </w: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8,747.5</w:t>
            </w:r>
          </w:p>
        </w:tc>
        <w:tc>
          <w:tcPr>
            <w:tcW w:w="6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7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150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95</w:t>
      </w:r>
    </w:p>
    <w:p>
      <w:pPr>
        <w:sectPr>
          <w:pgSz w:w="11880" w:h="15480" w:orient="portrait"/>
          <w:cols w:equalWidth="0" w:num="1">
            <w:col w:w="10800"/>
          </w:cols>
          <w:pgMar w:left="540" w:top="515" w:right="540"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4" w:lineRule="exact"/>
        <w:rPr>
          <w:sz w:val="20"/>
          <w:szCs w:val="20"/>
          <w:color w:val="auto"/>
        </w:rPr>
      </w:pPr>
    </w:p>
    <w:p>
      <w:pPr>
        <w:ind w:left="480" w:right="220" w:hanging="480"/>
        <w:spacing w:after="0" w:line="250" w:lineRule="auto"/>
        <w:tabs>
          <w:tab w:leader="none" w:pos="480" w:val="left"/>
        </w:tabs>
        <w:numPr>
          <w:ilvl w:val="0"/>
          <w:numId w:val="6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Assets related to reportable segments largely include accounts receivable, inventories, property, plant and equipment, goodwill, intangible assets and certain limited other assets. All other items are reflected in Corporate and other. Accounts receivable and inventory are ascribed based on underlying sales or activity. Property, plant and equipment are attributed to a particular business segment based on that item’s primary user and reflect an allocation of certain corporate-shared assets. Intangible assets and goodwill are largely directly associated with a particular reporting unit and attributed on that basis.</w:t>
      </w:r>
    </w:p>
    <w:p>
      <w:pPr>
        <w:spacing w:after="0" w:line="14" w:lineRule="exact"/>
        <w:rPr>
          <w:rFonts w:ascii="Times New Roman" w:cs="Times New Roman" w:eastAsia="Times New Roman" w:hAnsi="Times New Roman"/>
          <w:sz w:val="19"/>
          <w:szCs w:val="19"/>
          <w:color w:val="1E1E1E"/>
        </w:rPr>
      </w:pPr>
    </w:p>
    <w:p>
      <w:pPr>
        <w:ind w:left="480" w:hanging="480"/>
        <w:spacing w:after="0" w:line="248" w:lineRule="auto"/>
        <w:tabs>
          <w:tab w:leader="none" w:pos="480" w:val="left"/>
        </w:tabs>
        <w:numPr>
          <w:ilvl w:val="0"/>
          <w:numId w:val="6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divested and other business assets line item above reflects certain inventory retained by the Company related to continuing involvement in divested businesses pursuant to the Vantiva Supply Agreement and the Amphenol MSA, as discussed in Note 4, as well as other corporate assets. As of December 31, 2025, inventory of $16.6 million related to the OWN segment and DAS business unit, $4.4 million related to the P</w:t>
      </w:r>
      <w:r>
        <w:rPr>
          <w:rFonts w:ascii="Times New Roman" w:cs="Times New Roman" w:eastAsia="Times New Roman" w:hAnsi="Times New Roman"/>
          <w:sz w:val="20"/>
          <w:szCs w:val="20"/>
          <w:color w:val="1E1E1E"/>
        </w:rPr>
        <w:t>assive Optical Network (</w:t>
      </w:r>
      <w:r>
        <w:rPr>
          <w:rFonts w:ascii="Times New Roman" w:cs="Times New Roman" w:eastAsia="Times New Roman" w:hAnsi="Times New Roman"/>
          <w:sz w:val="19"/>
          <w:szCs w:val="19"/>
          <w:color w:val="1E1E1E"/>
        </w:rPr>
        <w:t>PON) business line within the CCS segment that was not divested with the sale of the CCS segment and $36.3 million related to corporate and other assets. As of December 31, 2024, inventory of $14.5 million related to the Home business, $20.3 million related to the PON business and $105.6 million related to corporate and other assets.</w:t>
      </w:r>
    </w:p>
    <w:p>
      <w:pPr>
        <w:spacing w:after="0" w:line="19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1E1E1E"/>
        </w:rPr>
        <w:t>The Company organizes its reportable segments based on the nature of products and services offered. Segment information is presented on the same basis that the Company's Chief Executive Officer, who is the CODM, uses to manage its segments, evaluate financials results and make key operating decisions. 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recurring business.</w:t>
      </w:r>
    </w:p>
    <w:p>
      <w:pPr>
        <w:spacing w:after="0" w:line="20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1E1E1E"/>
        </w:rPr>
        <w:t>These financial metrics are used to view operating trends, perform analytical comparisons and benchmark performance between periods and among geographic regions and monitor budget-to-actual variances on a monthly basis. To manage operations and make decisions regarding resource allocations, the Company’s CODM is regularly provided and reviews expense information at a consolidated level for each segment. Each segment has a manager responsible for executing the Company’s strategic initiatives.</w:t>
      </w:r>
    </w:p>
    <w:p>
      <w:pPr>
        <w:spacing w:after="0" w:line="19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1E1E1E"/>
        </w:rPr>
        <w:t>The following table provides net sales, cost of sales, total operating expenses, adjusted EBITDA, depreciation expense and additions to property, plant and equipment by reportable segment for the year ended December 31,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1E1E1E"/>
              </w:rPr>
              <w:t>Corporate</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w w:val="96"/>
              </w:rPr>
              <w:t xml:space="preserve">RUCKUS </w:t>
            </w:r>
            <w:r>
              <w:rPr>
                <w:rFonts w:ascii="Times New Roman" w:cs="Times New Roman" w:eastAsia="Times New Roman" w:hAnsi="Times New Roman"/>
                <w:sz w:val="10"/>
                <w:szCs w:val="10"/>
                <w:b w:val="1"/>
                <w:bCs w:val="1"/>
                <w:color w:val="1E1E1E"/>
                <w:w w:val="96"/>
              </w:rPr>
              <w:t>(1)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Aurora</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1E1E1E"/>
              </w:rPr>
              <w:t xml:space="preserve">and other </w:t>
            </w:r>
            <w:r>
              <w:rPr>
                <w:rFonts w:ascii="Times New Roman" w:cs="Times New Roman" w:eastAsia="Times New Roman" w:hAnsi="Times New Roman"/>
                <w:sz w:val="10"/>
                <w:szCs w:val="10"/>
                <w:b w:val="1"/>
                <w:bCs w:val="1"/>
                <w:color w:val="1E1E1E"/>
              </w:rPr>
              <w:t>(2)</w:t>
            </w:r>
          </w:p>
        </w:tc>
        <w:tc>
          <w:tcPr>
            <w:tcW w:w="26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sales</w:t>
            </w:r>
          </w:p>
        </w:tc>
        <w:tc>
          <w:tcPr>
            <w:tcW w:w="1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698.9</w:t>
            </w:r>
          </w:p>
        </w:tc>
        <w:tc>
          <w:tcPr>
            <w:tcW w:w="120" w:type="dxa"/>
            <w:vAlign w:val="bottom"/>
            <w:tcBorders>
              <w:top w:val="single" w:sz="8" w:color="E1E1E1"/>
            </w:tcBorders>
            <w:shd w:val="clear" w:color="auto" w:fill="E1E1E1"/>
          </w:tcPr>
          <w:p>
            <w:pPr>
              <w:spacing w:after="0"/>
              <w:rPr>
                <w:sz w:val="20"/>
                <w:szCs w:val="20"/>
                <w:color w:val="auto"/>
              </w:rPr>
            </w:pPr>
          </w:p>
        </w:tc>
        <w:tc>
          <w:tcPr>
            <w:tcW w:w="160" w:type="dxa"/>
            <w:vAlign w:val="bottom"/>
            <w:tcBorders>
              <w:top w:val="single" w:sz="8" w:color="E1E1E1"/>
            </w:tcBorders>
            <w:shd w:val="clear" w:color="auto" w:fill="E1E1E1"/>
          </w:tcPr>
          <w:p>
            <w:pPr>
              <w:spacing w:after="0"/>
              <w:rPr>
                <w:sz w:val="20"/>
                <w:szCs w:val="20"/>
                <w:color w:val="auto"/>
              </w:rPr>
            </w:pPr>
          </w:p>
        </w:tc>
        <w:tc>
          <w:tcPr>
            <w:tcW w:w="240" w:type="dxa"/>
            <w:vAlign w:val="bottom"/>
            <w:tcBorders>
              <w:top w:val="single" w:sz="8" w:color="1E1E1E"/>
            </w:tcBorders>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1,232.7</w:t>
            </w:r>
          </w:p>
        </w:tc>
        <w:tc>
          <w:tcPr>
            <w:tcW w:w="120" w:type="dxa"/>
            <w:vAlign w:val="bottom"/>
            <w:tcBorders>
              <w:top w:val="single" w:sz="8" w:color="E1E1E1"/>
            </w:tcBorders>
            <w:shd w:val="clear" w:color="auto" w:fill="E1E1E1"/>
          </w:tcPr>
          <w:p>
            <w:pPr>
              <w:spacing w:after="0"/>
              <w:rPr>
                <w:sz w:val="20"/>
                <w:szCs w:val="20"/>
                <w:color w:val="auto"/>
              </w:rPr>
            </w:pPr>
          </w:p>
        </w:tc>
        <w:tc>
          <w:tcPr>
            <w:tcW w:w="16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Borders>
              <w:top w:val="single" w:sz="8" w:color="E1E1E1"/>
            </w:tcBorders>
            <w:shd w:val="clear" w:color="auto" w:fill="E1E1E1"/>
          </w:tcPr>
          <w:p>
            <w:pPr>
              <w:spacing w:after="0"/>
              <w:rPr>
                <w:sz w:val="20"/>
                <w:szCs w:val="20"/>
                <w:color w:val="auto"/>
              </w:rPr>
            </w:pPr>
          </w:p>
        </w:tc>
        <w:tc>
          <w:tcPr>
            <w:tcW w:w="260" w:type="dxa"/>
            <w:vAlign w:val="bottom"/>
            <w:tcBorders>
              <w:top w:val="single" w:sz="8" w:color="1E1E1E"/>
            </w:tcBorders>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1,931.6</w:t>
            </w: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Cost and expenses: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Segment cost of sales</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Segment operating expenses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334.2</w:t>
            </w: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285.9</w:t>
            </w: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66.0</w:t>
            </w: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Addback: Depreciation</w:t>
            </w:r>
          </w:p>
        </w:tc>
        <w:tc>
          <w:tcPr>
            <w:tcW w:w="1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(4.0)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(14.3)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(2.9)</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Segment adjusted EBITDA</w:t>
            </w:r>
          </w:p>
        </w:tc>
        <w:tc>
          <w:tcPr>
            <w:tcW w:w="10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120" w:type="dxa"/>
            <w:vAlign w:val="bottom"/>
            <w:shd w:val="clear" w:color="auto" w:fill="E1E1E1"/>
          </w:tcPr>
          <w:p>
            <w:pPr>
              <w:spacing w:after="0" w:line="20" w:lineRule="exact"/>
              <w:rPr>
                <w:sz w:val="1"/>
                <w:szCs w:val="1"/>
                <w:color w:val="auto"/>
              </w:rPr>
            </w:pPr>
          </w:p>
        </w:tc>
        <w:tc>
          <w:tcPr>
            <w:tcW w:w="160" w:type="dxa"/>
            <w:vAlign w:val="bottom"/>
            <w:shd w:val="clear" w:color="auto" w:fill="1E1E1E"/>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1040" w:type="dxa"/>
            <w:vAlign w:val="bottom"/>
            <w:shd w:val="clear" w:color="auto" w:fill="1E1E1E"/>
          </w:tcPr>
          <w:p>
            <w:pPr>
              <w:spacing w:after="0" w:line="20" w:lineRule="exact"/>
              <w:rPr>
                <w:sz w:val="1"/>
                <w:szCs w:val="1"/>
                <w:color w:val="auto"/>
              </w:rPr>
            </w:pPr>
          </w:p>
        </w:tc>
        <w:tc>
          <w:tcPr>
            <w:tcW w:w="120" w:type="dxa"/>
            <w:vAlign w:val="bottom"/>
            <w:vMerge w:val="restart"/>
            <w:shd w:val="clear" w:color="auto" w:fill="E1E1E1"/>
          </w:tcPr>
          <w:p>
            <w:pPr>
              <w:spacing w:after="0" w:line="20" w:lineRule="exact"/>
              <w:rPr>
                <w:sz w:val="1"/>
                <w:szCs w:val="1"/>
                <w:color w:val="auto"/>
              </w:rPr>
            </w:pPr>
          </w:p>
        </w:tc>
        <w:tc>
          <w:tcPr>
            <w:tcW w:w="160" w:type="dxa"/>
            <w:vAlign w:val="bottom"/>
            <w:shd w:val="clear" w:color="auto" w:fill="1E1E1E"/>
          </w:tcPr>
          <w:p>
            <w:pPr>
              <w:spacing w:after="0" w:line="20" w:lineRule="exact"/>
              <w:rPr>
                <w:sz w:val="1"/>
                <w:szCs w:val="1"/>
                <w:color w:val="auto"/>
              </w:rPr>
            </w:pPr>
          </w:p>
        </w:tc>
        <w:tc>
          <w:tcPr>
            <w:tcW w:w="200" w:type="dxa"/>
            <w:vAlign w:val="bottom"/>
            <w:shd w:val="clear" w:color="auto" w:fill="1E1E1E"/>
          </w:tcPr>
          <w:p>
            <w:pPr>
              <w:spacing w:after="0" w:line="20" w:lineRule="exact"/>
              <w:rPr>
                <w:sz w:val="1"/>
                <w:szCs w:val="1"/>
                <w:color w:val="auto"/>
              </w:rPr>
            </w:pPr>
          </w:p>
        </w:tc>
        <w:tc>
          <w:tcPr>
            <w:tcW w:w="1180" w:type="dxa"/>
            <w:vAlign w:val="bottom"/>
            <w:shd w:val="clear" w:color="auto" w:fill="1E1E1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292.0</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127.5</w:t>
            </w: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251.9</w:t>
            </w:r>
          </w:p>
        </w:tc>
        <w:tc>
          <w:tcPr>
            <w:tcW w:w="120" w:type="dxa"/>
            <w:vAlign w:val="bottom"/>
            <w:vMerge w:val="continue"/>
            <w:shd w:val="clear" w:color="auto" w:fill="E1E1E1"/>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(87.4)</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Amortization of intangible assets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(138.4)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Restructuring costs, net</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(19.7)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(30.4)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Transaction, transformation and integration costs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(29.9)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Other</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Depreciation</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(21.2)</w:t>
            </w:r>
          </w:p>
        </w:tc>
        <w:tc>
          <w:tcPr>
            <w:tcW w:w="0" w:type="dxa"/>
            <w:vAlign w:val="bottom"/>
          </w:tcPr>
          <w:p>
            <w:pPr>
              <w:spacing w:after="0"/>
              <w:rPr>
                <w:sz w:val="1"/>
                <w:szCs w:val="1"/>
                <w:color w:val="auto"/>
              </w:rPr>
            </w:pPr>
          </w:p>
        </w:tc>
      </w:tr>
      <w:tr>
        <w:trPr>
          <w:trHeight w:val="239"/>
        </w:trPr>
        <w:tc>
          <w:tcPr>
            <w:tcW w:w="50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Operating income</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1E1E1E"/>
            </w:tcBorders>
          </w:tcPr>
          <w:p>
            <w:pPr>
              <w:spacing w:after="0"/>
              <w:rPr>
                <w:sz w:val="20"/>
                <w:szCs w:val="20"/>
                <w:color w:val="auto"/>
              </w:rPr>
            </w:pPr>
          </w:p>
        </w:tc>
        <w:tc>
          <w:tcPr>
            <w:tcW w:w="9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expense, net</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260" w:type="dxa"/>
            <w:vAlign w:val="bottom"/>
            <w:tcBorders>
              <w:bottom w:val="single" w:sz="8" w:color="1E1E1E"/>
            </w:tcBorders>
            <w:shd w:val="clear" w:color="auto" w:fill="E1E1E1"/>
          </w:tcPr>
          <w:p>
            <w:pPr>
              <w:spacing w:after="0"/>
              <w:rPr>
                <w:sz w:val="21"/>
                <w:szCs w:val="21"/>
                <w:color w:val="auto"/>
              </w:rPr>
            </w:pPr>
          </w:p>
        </w:tc>
        <w:tc>
          <w:tcPr>
            <w:tcW w:w="9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020" w:type="dxa"/>
            <w:vAlign w:val="bottom"/>
            <w:gridSpan w:val="2"/>
          </w:tcPr>
          <w:p>
            <w:pPr>
              <w:spacing w:after="0" w:line="218" w:lineRule="exact"/>
              <w:rPr>
                <w:sz w:val="20"/>
                <w:szCs w:val="20"/>
                <w:color w:val="auto"/>
              </w:rPr>
            </w:pPr>
            <w:r>
              <w:rPr>
                <w:rFonts w:ascii="Times New Roman" w:cs="Times New Roman" w:eastAsia="Times New Roman" w:hAnsi="Times New Roman"/>
                <w:sz w:val="20"/>
                <w:szCs w:val="20"/>
                <w:color w:val="1E1E1E"/>
              </w:rPr>
              <w:t>Income from continuing operations before income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0" w:type="dxa"/>
            <w:vAlign w:val="bottom"/>
            <w:tcBorders>
              <w:bottom w:val="single" w:sz="8" w:color="E1E1E1"/>
            </w:tcBorders>
          </w:tcPr>
          <w:p>
            <w:pPr>
              <w:ind w:left="120"/>
              <w:spacing w:after="0"/>
              <w:rPr>
                <w:sz w:val="20"/>
                <w:szCs w:val="20"/>
                <w:color w:val="auto"/>
              </w:rPr>
            </w:pPr>
            <w:r>
              <w:rPr>
                <w:rFonts w:ascii="Times New Roman" w:cs="Times New Roman" w:eastAsia="Times New Roman" w:hAnsi="Times New Roman"/>
                <w:sz w:val="20"/>
                <w:szCs w:val="20"/>
                <w:color w:val="1E1E1E"/>
              </w:rPr>
              <w:t>taxes</w:t>
            </w:r>
          </w:p>
        </w:tc>
        <w:tc>
          <w:tcPr>
            <w:tcW w:w="100" w:type="dxa"/>
            <w:vAlign w:val="bottom"/>
            <w:tcBorders>
              <w:bottom w:val="single" w:sz="8" w:color="E1E1E1"/>
            </w:tcBorders>
          </w:tcPr>
          <w:p>
            <w:pPr>
              <w:spacing w:after="0"/>
              <w:rPr>
                <w:sz w:val="24"/>
                <w:szCs w:val="24"/>
                <w:color w:val="auto"/>
              </w:rPr>
            </w:pPr>
          </w:p>
        </w:tc>
        <w:tc>
          <w:tcPr>
            <w:tcW w:w="920" w:type="dxa"/>
            <w:vAlign w:val="bottom"/>
            <w:tcBorders>
              <w:bottom w:val="single" w:sz="8" w:color="E1E1E1"/>
            </w:tcBorders>
          </w:tcPr>
          <w:p>
            <w:pPr>
              <w:spacing w:after="0"/>
              <w:rPr>
                <w:sz w:val="24"/>
                <w:szCs w:val="24"/>
                <w:color w:val="auto"/>
              </w:rPr>
            </w:pPr>
          </w:p>
        </w:tc>
        <w:tc>
          <w:tcPr>
            <w:tcW w:w="120" w:type="dxa"/>
            <w:vAlign w:val="bottom"/>
            <w:tcBorders>
              <w:bottom w:val="single" w:sz="8" w:color="E1E1E1"/>
            </w:tcBorders>
          </w:tcPr>
          <w:p>
            <w:pPr>
              <w:spacing w:after="0"/>
              <w:rPr>
                <w:sz w:val="24"/>
                <w:szCs w:val="24"/>
                <w:color w:val="auto"/>
              </w:rPr>
            </w:pPr>
          </w:p>
        </w:tc>
        <w:tc>
          <w:tcPr>
            <w:tcW w:w="160" w:type="dxa"/>
            <w:vAlign w:val="bottom"/>
            <w:tcBorders>
              <w:bottom w:val="single" w:sz="8" w:color="E1E1E1"/>
            </w:tcBorders>
          </w:tcPr>
          <w:p>
            <w:pPr>
              <w:spacing w:after="0"/>
              <w:rPr>
                <w:sz w:val="24"/>
                <w:szCs w:val="24"/>
                <w:color w:val="auto"/>
              </w:rPr>
            </w:pPr>
          </w:p>
        </w:tc>
        <w:tc>
          <w:tcPr>
            <w:tcW w:w="240" w:type="dxa"/>
            <w:vAlign w:val="bottom"/>
            <w:tcBorders>
              <w:bottom w:val="single" w:sz="8" w:color="E1E1E1"/>
            </w:tcBorders>
          </w:tcPr>
          <w:p>
            <w:pPr>
              <w:spacing w:after="0"/>
              <w:rPr>
                <w:sz w:val="24"/>
                <w:szCs w:val="24"/>
                <w:color w:val="auto"/>
              </w:rPr>
            </w:pPr>
          </w:p>
        </w:tc>
        <w:tc>
          <w:tcPr>
            <w:tcW w:w="1040" w:type="dxa"/>
            <w:vAlign w:val="bottom"/>
            <w:tcBorders>
              <w:bottom w:val="single" w:sz="8" w:color="E1E1E1"/>
            </w:tcBorders>
          </w:tcPr>
          <w:p>
            <w:pPr>
              <w:spacing w:after="0"/>
              <w:rPr>
                <w:sz w:val="24"/>
                <w:szCs w:val="24"/>
                <w:color w:val="auto"/>
              </w:rPr>
            </w:pPr>
          </w:p>
        </w:tc>
        <w:tc>
          <w:tcPr>
            <w:tcW w:w="120" w:type="dxa"/>
            <w:vAlign w:val="bottom"/>
            <w:tcBorders>
              <w:bottom w:val="single" w:sz="8" w:color="E1E1E1"/>
            </w:tcBorders>
          </w:tcPr>
          <w:p>
            <w:pPr>
              <w:spacing w:after="0"/>
              <w:rPr>
                <w:sz w:val="24"/>
                <w:szCs w:val="24"/>
                <w:color w:val="auto"/>
              </w:rPr>
            </w:pPr>
          </w:p>
        </w:tc>
        <w:tc>
          <w:tcPr>
            <w:tcW w:w="160" w:type="dxa"/>
            <w:vAlign w:val="bottom"/>
            <w:tcBorders>
              <w:bottom w:val="single" w:sz="8" w:color="E1E1E1"/>
            </w:tcBorders>
          </w:tcPr>
          <w:p>
            <w:pPr>
              <w:spacing w:after="0"/>
              <w:rPr>
                <w:sz w:val="24"/>
                <w:szCs w:val="24"/>
                <w:color w:val="auto"/>
              </w:rPr>
            </w:pPr>
          </w:p>
        </w:tc>
        <w:tc>
          <w:tcPr>
            <w:tcW w:w="200" w:type="dxa"/>
            <w:vAlign w:val="bottom"/>
            <w:tcBorders>
              <w:bottom w:val="single" w:sz="8" w:color="E1E1E1"/>
            </w:tcBorders>
          </w:tcPr>
          <w:p>
            <w:pPr>
              <w:spacing w:after="0"/>
              <w:rPr>
                <w:sz w:val="24"/>
                <w:szCs w:val="24"/>
                <w:color w:val="auto"/>
              </w:rPr>
            </w:pPr>
          </w:p>
        </w:tc>
        <w:tc>
          <w:tcPr>
            <w:tcW w:w="1180" w:type="dxa"/>
            <w:vAlign w:val="bottom"/>
            <w:tcBorders>
              <w:bottom w:val="single" w:sz="8" w:color="E1E1E1"/>
            </w:tcBorders>
          </w:tcPr>
          <w:p>
            <w:pPr>
              <w:spacing w:after="0"/>
              <w:rPr>
                <w:sz w:val="24"/>
                <w:szCs w:val="24"/>
                <w:color w:val="auto"/>
              </w:rPr>
            </w:pPr>
          </w:p>
        </w:tc>
        <w:tc>
          <w:tcPr>
            <w:tcW w:w="280" w:type="dxa"/>
            <w:vAlign w:val="bottom"/>
            <w:tcBorders>
              <w:bottom w:val="single" w:sz="8" w:color="E1E1E1"/>
            </w:tcBorders>
          </w:tcPr>
          <w:p>
            <w:pPr>
              <w:spacing w:after="0"/>
              <w:rPr>
                <w:sz w:val="24"/>
                <w:szCs w:val="24"/>
                <w:color w:val="auto"/>
              </w:rPr>
            </w:pPr>
          </w:p>
        </w:tc>
        <w:tc>
          <w:tcPr>
            <w:tcW w:w="26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54.9</w:t>
            </w:r>
          </w:p>
        </w:tc>
        <w:tc>
          <w:tcPr>
            <w:tcW w:w="80" w:type="dxa"/>
            <w:vAlign w:val="bottom"/>
            <w:tcBorders>
              <w:bottom w:val="single" w:sz="8" w:color="E1E1E1"/>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000" w:type="dxa"/>
            <w:vAlign w:val="bottom"/>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920" w:type="dxa"/>
            <w:vAlign w:val="bottom"/>
            <w:shd w:val="clear" w:color="auto" w:fill="E1E1E1"/>
          </w:tcPr>
          <w:p>
            <w:pPr>
              <w:spacing w:after="0"/>
              <w:rPr>
                <w:sz w:val="19"/>
                <w:szCs w:val="19"/>
                <w:color w:val="auto"/>
              </w:rPr>
            </w:pPr>
          </w:p>
        </w:tc>
        <w:tc>
          <w:tcPr>
            <w:tcW w:w="120" w:type="dxa"/>
            <w:vAlign w:val="bottom"/>
            <w:shd w:val="clear" w:color="auto" w:fill="E1E1E1"/>
          </w:tcPr>
          <w:p>
            <w:pPr>
              <w:spacing w:after="0"/>
              <w:rPr>
                <w:sz w:val="19"/>
                <w:szCs w:val="19"/>
                <w:color w:val="auto"/>
              </w:rPr>
            </w:pPr>
          </w:p>
        </w:tc>
        <w:tc>
          <w:tcPr>
            <w:tcW w:w="160" w:type="dxa"/>
            <w:vAlign w:val="bottom"/>
            <w:shd w:val="clear" w:color="auto" w:fill="E1E1E1"/>
          </w:tcPr>
          <w:p>
            <w:pPr>
              <w:spacing w:after="0"/>
              <w:rPr>
                <w:sz w:val="19"/>
                <w:szCs w:val="19"/>
                <w:color w:val="auto"/>
              </w:rPr>
            </w:pPr>
          </w:p>
        </w:tc>
        <w:tc>
          <w:tcPr>
            <w:tcW w:w="240" w:type="dxa"/>
            <w:vAlign w:val="bottom"/>
            <w:shd w:val="clear" w:color="auto" w:fill="E1E1E1"/>
          </w:tcPr>
          <w:p>
            <w:pPr>
              <w:spacing w:after="0"/>
              <w:rPr>
                <w:sz w:val="19"/>
                <w:szCs w:val="19"/>
                <w:color w:val="auto"/>
              </w:rPr>
            </w:pPr>
          </w:p>
        </w:tc>
        <w:tc>
          <w:tcPr>
            <w:tcW w:w="1040" w:type="dxa"/>
            <w:vAlign w:val="bottom"/>
            <w:shd w:val="clear" w:color="auto" w:fill="E1E1E1"/>
          </w:tcPr>
          <w:p>
            <w:pPr>
              <w:spacing w:after="0"/>
              <w:rPr>
                <w:sz w:val="19"/>
                <w:szCs w:val="19"/>
                <w:color w:val="auto"/>
              </w:rPr>
            </w:pPr>
          </w:p>
        </w:tc>
        <w:tc>
          <w:tcPr>
            <w:tcW w:w="120" w:type="dxa"/>
            <w:vAlign w:val="bottom"/>
            <w:shd w:val="clear" w:color="auto" w:fill="E1E1E1"/>
          </w:tcPr>
          <w:p>
            <w:pPr>
              <w:spacing w:after="0"/>
              <w:rPr>
                <w:sz w:val="19"/>
                <w:szCs w:val="19"/>
                <w:color w:val="auto"/>
              </w:rPr>
            </w:pPr>
          </w:p>
        </w:tc>
        <w:tc>
          <w:tcPr>
            <w:tcW w:w="160" w:type="dxa"/>
            <w:vAlign w:val="bottom"/>
            <w:shd w:val="clear" w:color="auto" w:fill="E1E1E1"/>
          </w:tcPr>
          <w:p>
            <w:pPr>
              <w:spacing w:after="0"/>
              <w:rPr>
                <w:sz w:val="19"/>
                <w:szCs w:val="19"/>
                <w:color w:val="auto"/>
              </w:rPr>
            </w:pPr>
          </w:p>
        </w:tc>
        <w:tc>
          <w:tcPr>
            <w:tcW w:w="200" w:type="dxa"/>
            <w:vAlign w:val="bottom"/>
            <w:shd w:val="clear" w:color="auto" w:fill="E1E1E1"/>
          </w:tcPr>
          <w:p>
            <w:pPr>
              <w:spacing w:after="0"/>
              <w:rPr>
                <w:sz w:val="19"/>
                <w:szCs w:val="19"/>
                <w:color w:val="auto"/>
              </w:rPr>
            </w:pPr>
          </w:p>
        </w:tc>
        <w:tc>
          <w:tcPr>
            <w:tcW w:w="1180" w:type="dxa"/>
            <w:vAlign w:val="bottom"/>
            <w:shd w:val="clear" w:color="auto" w:fill="E1E1E1"/>
          </w:tcPr>
          <w:p>
            <w:pPr>
              <w:spacing w:after="0"/>
              <w:rPr>
                <w:sz w:val="19"/>
                <w:szCs w:val="19"/>
                <w:color w:val="auto"/>
              </w:rPr>
            </w:pPr>
          </w:p>
        </w:tc>
        <w:tc>
          <w:tcPr>
            <w:tcW w:w="280" w:type="dxa"/>
            <w:vAlign w:val="bottom"/>
            <w:shd w:val="clear" w:color="auto" w:fill="E1E1E1"/>
          </w:tcPr>
          <w:p>
            <w:pPr>
              <w:spacing w:after="0"/>
              <w:rPr>
                <w:sz w:val="19"/>
                <w:szCs w:val="19"/>
                <w:color w:val="auto"/>
              </w:rPr>
            </w:pPr>
          </w:p>
        </w:tc>
        <w:tc>
          <w:tcPr>
            <w:tcW w:w="260" w:type="dxa"/>
            <w:vAlign w:val="bottom"/>
            <w:shd w:val="clear" w:color="auto" w:fill="E1E1E1"/>
          </w:tcPr>
          <w:p>
            <w:pPr>
              <w:spacing w:after="0"/>
              <w:rPr>
                <w:sz w:val="19"/>
                <w:szCs w:val="19"/>
                <w:color w:val="auto"/>
              </w:rPr>
            </w:pPr>
          </w:p>
        </w:tc>
        <w:tc>
          <w:tcPr>
            <w:tcW w:w="92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Depreciation</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w:t>
            </w:r>
          </w:p>
        </w:tc>
        <w:tc>
          <w:tcPr>
            <w:tcW w:w="12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1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28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Additions to property, plant and equipment</w:t>
            </w: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120" w:type="dxa"/>
            <w:vAlign w:val="bottom"/>
            <w:shd w:val="clear" w:color="auto" w:fill="E1E1E1"/>
          </w:tcPr>
          <w:p>
            <w:pPr>
              <w:spacing w:after="0"/>
              <w:rPr>
                <w:sz w:val="21"/>
                <w:szCs w:val="21"/>
                <w:color w:val="auto"/>
              </w:rPr>
            </w:pPr>
          </w:p>
        </w:tc>
        <w:tc>
          <w:tcPr>
            <w:tcW w:w="40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7.8</w:t>
            </w:r>
          </w:p>
        </w:tc>
        <w:tc>
          <w:tcPr>
            <w:tcW w:w="120" w:type="dxa"/>
            <w:vAlign w:val="bottom"/>
            <w:shd w:val="clear" w:color="auto" w:fill="E1E1E1"/>
          </w:tcPr>
          <w:p>
            <w:pPr>
              <w:spacing w:after="0"/>
              <w:rPr>
                <w:sz w:val="21"/>
                <w:szCs w:val="21"/>
                <w:color w:val="auto"/>
              </w:rPr>
            </w:pPr>
          </w:p>
        </w:tc>
        <w:tc>
          <w:tcPr>
            <w:tcW w:w="36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11.7</w:t>
            </w: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23.0</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-2216785</wp:posOffset>
            </wp:positionV>
            <wp:extent cx="1958975" cy="164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5">
                      <a:extLst>
                        <a:ext uri="{28A0092B-C50C-407E-A947-70E740481C1C}"/>
                      </a:extLst>
                    </a:blip>
                    <a:srcRect/>
                    <a:stretch>
                      <a:fillRect/>
                    </a:stretch>
                  </pic:blipFill>
                  <pic:spPr bwMode="auto">
                    <a:xfrm>
                      <a:off x="0" y="0"/>
                      <a:ext cx="1958975" cy="164465"/>
                    </a:xfrm>
                    <a:prstGeom prst="rect">
                      <a:avLst/>
                    </a:prstGeom>
                    <a:noFill/>
                  </pic:spPr>
                </pic:pic>
              </a:graphicData>
            </a:graphic>
          </wp:anchor>
        </w:drawing>
      </w:r>
    </w:p>
    <w:p>
      <w:pPr>
        <w:spacing w:after="0" w:line="80" w:lineRule="exact"/>
        <w:rPr>
          <w:sz w:val="20"/>
          <w:szCs w:val="20"/>
          <w:color w:val="auto"/>
        </w:rPr>
      </w:pPr>
    </w:p>
    <w:p>
      <w:pPr>
        <w:ind w:left="480" w:hanging="480"/>
        <w:spacing w:after="0"/>
        <w:tabs>
          <w:tab w:leader="none" w:pos="480" w:val="left"/>
        </w:tabs>
        <w:numPr>
          <w:ilvl w:val="0"/>
          <w:numId w:val="6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Includes activity of the OneCell business for periods prior to its disposition.</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96</w:t>
      </w:r>
    </w:p>
    <w:p>
      <w:pPr>
        <w:sectPr>
          <w:pgSz w:w="11880" w:h="15480" w:orient="portrait"/>
          <w:cols w:equalWidth="0" w:num="1">
            <w:col w:w="10800"/>
          </w:cols>
          <w:pgMar w:left="540" w:top="515" w:right="54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4" w:lineRule="exact"/>
        <w:rPr>
          <w:sz w:val="20"/>
          <w:szCs w:val="20"/>
          <w:color w:val="auto"/>
        </w:rPr>
      </w:pPr>
    </w:p>
    <w:p>
      <w:pPr>
        <w:ind w:left="480" w:right="80" w:hanging="480"/>
        <w:spacing w:after="0" w:line="248" w:lineRule="auto"/>
        <w:tabs>
          <w:tab w:leader="none" w:pos="480" w:val="left"/>
        </w:tabs>
        <w:numPr>
          <w:ilvl w:val="0"/>
          <w:numId w:val="7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corporate and other category above primarily reflects general corporate costs that were previously allocated to the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will be reallocated to the Company’s remaining segments beginning in the first quarter of 2026.</w:t>
      </w:r>
    </w:p>
    <w:p>
      <w:pPr>
        <w:spacing w:after="0" w:line="19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1E1E1E"/>
        </w:rPr>
        <w:t>The following table provides net sales, cost of sales, total operating expenses, adjusted EBITDA, depreciation expense and additions to property, plant and equipment by reportable segment for the year ended December 31,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1E1E1E"/>
              </w:rPr>
              <w:t>Corporate</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w w:val="96"/>
              </w:rPr>
              <w:t xml:space="preserve">RUCKUS </w:t>
            </w:r>
            <w:r>
              <w:rPr>
                <w:rFonts w:ascii="Times New Roman" w:cs="Times New Roman" w:eastAsia="Times New Roman" w:hAnsi="Times New Roman"/>
                <w:sz w:val="10"/>
                <w:szCs w:val="10"/>
                <w:b w:val="1"/>
                <w:bCs w:val="1"/>
                <w:color w:val="1E1E1E"/>
                <w:w w:val="96"/>
              </w:rPr>
              <w:t>(1)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Aurora</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1E1E1E"/>
              </w:rPr>
              <w:t xml:space="preserve">and other </w:t>
            </w:r>
            <w:r>
              <w:rPr>
                <w:rFonts w:ascii="Times New Roman" w:cs="Times New Roman" w:eastAsia="Times New Roman" w:hAnsi="Times New Roman"/>
                <w:sz w:val="10"/>
                <w:szCs w:val="10"/>
                <w:b w:val="1"/>
                <w:bCs w:val="1"/>
                <w:color w:val="1E1E1E"/>
              </w:rPr>
              <w:t>(2)</w:t>
            </w:r>
          </w:p>
        </w:tc>
        <w:tc>
          <w:tcPr>
            <w:tcW w:w="26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sales</w:t>
            </w:r>
          </w:p>
        </w:tc>
        <w:tc>
          <w:tcPr>
            <w:tcW w:w="1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546.3</w:t>
            </w:r>
          </w:p>
        </w:tc>
        <w:tc>
          <w:tcPr>
            <w:tcW w:w="120" w:type="dxa"/>
            <w:vAlign w:val="bottom"/>
            <w:tcBorders>
              <w:top w:val="single" w:sz="8" w:color="E1E1E1"/>
            </w:tcBorders>
            <w:shd w:val="clear" w:color="auto" w:fill="E1E1E1"/>
          </w:tcPr>
          <w:p>
            <w:pPr>
              <w:spacing w:after="0"/>
              <w:rPr>
                <w:sz w:val="20"/>
                <w:szCs w:val="20"/>
                <w:color w:val="auto"/>
              </w:rPr>
            </w:pPr>
          </w:p>
        </w:tc>
        <w:tc>
          <w:tcPr>
            <w:tcW w:w="160" w:type="dxa"/>
            <w:vAlign w:val="bottom"/>
            <w:tcBorders>
              <w:top w:val="single" w:sz="8" w:color="E1E1E1"/>
            </w:tcBorders>
            <w:shd w:val="clear" w:color="auto" w:fill="E1E1E1"/>
          </w:tcPr>
          <w:p>
            <w:pPr>
              <w:spacing w:after="0"/>
              <w:rPr>
                <w:sz w:val="20"/>
                <w:szCs w:val="20"/>
                <w:color w:val="auto"/>
              </w:rPr>
            </w:pPr>
          </w:p>
        </w:tc>
        <w:tc>
          <w:tcPr>
            <w:tcW w:w="240" w:type="dxa"/>
            <w:vAlign w:val="bottom"/>
            <w:tcBorders>
              <w:top w:val="single" w:sz="8" w:color="1E1E1E"/>
            </w:tcBorders>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835.8</w:t>
            </w:r>
          </w:p>
        </w:tc>
        <w:tc>
          <w:tcPr>
            <w:tcW w:w="120" w:type="dxa"/>
            <w:vAlign w:val="bottom"/>
            <w:tcBorders>
              <w:top w:val="single" w:sz="8" w:color="E1E1E1"/>
            </w:tcBorders>
            <w:shd w:val="clear" w:color="auto" w:fill="E1E1E1"/>
          </w:tcPr>
          <w:p>
            <w:pPr>
              <w:spacing w:after="0"/>
              <w:rPr>
                <w:sz w:val="20"/>
                <w:szCs w:val="20"/>
                <w:color w:val="auto"/>
              </w:rPr>
            </w:pPr>
          </w:p>
        </w:tc>
        <w:tc>
          <w:tcPr>
            <w:tcW w:w="16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0.5</w:t>
            </w:r>
          </w:p>
        </w:tc>
        <w:tc>
          <w:tcPr>
            <w:tcW w:w="280" w:type="dxa"/>
            <w:vAlign w:val="bottom"/>
            <w:tcBorders>
              <w:top w:val="single" w:sz="8" w:color="E1E1E1"/>
            </w:tcBorders>
            <w:shd w:val="clear" w:color="auto" w:fill="E1E1E1"/>
          </w:tcPr>
          <w:p>
            <w:pPr>
              <w:spacing w:after="0"/>
              <w:rPr>
                <w:sz w:val="20"/>
                <w:szCs w:val="20"/>
                <w:color w:val="auto"/>
              </w:rPr>
            </w:pPr>
          </w:p>
        </w:tc>
        <w:tc>
          <w:tcPr>
            <w:tcW w:w="260" w:type="dxa"/>
            <w:vAlign w:val="bottom"/>
            <w:tcBorders>
              <w:top w:val="single" w:sz="8" w:color="1E1E1E"/>
            </w:tcBorders>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1,382.6</w:t>
            </w: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Cost and expenses: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Segment cost of sales</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Segment operating expenses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280.0</w:t>
            </w: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226.0</w:t>
            </w: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107.2</w:t>
            </w: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Addback: Depreciation</w:t>
            </w:r>
          </w:p>
        </w:tc>
        <w:tc>
          <w:tcPr>
            <w:tcW w:w="1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(6.5)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(18.5)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(6.5)</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Segment adjusted EBITDA</w:t>
            </w:r>
          </w:p>
        </w:tc>
        <w:tc>
          <w:tcPr>
            <w:tcW w:w="10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120" w:type="dxa"/>
            <w:vAlign w:val="bottom"/>
            <w:shd w:val="clear" w:color="auto" w:fill="E1E1E1"/>
          </w:tcPr>
          <w:p>
            <w:pPr>
              <w:spacing w:after="0" w:line="20" w:lineRule="exact"/>
              <w:rPr>
                <w:sz w:val="1"/>
                <w:szCs w:val="1"/>
                <w:color w:val="auto"/>
              </w:rPr>
            </w:pPr>
          </w:p>
        </w:tc>
        <w:tc>
          <w:tcPr>
            <w:tcW w:w="160" w:type="dxa"/>
            <w:vAlign w:val="bottom"/>
            <w:shd w:val="clear" w:color="auto" w:fill="1E1E1E"/>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1040" w:type="dxa"/>
            <w:vAlign w:val="bottom"/>
            <w:shd w:val="clear" w:color="auto" w:fill="1E1E1E"/>
          </w:tcPr>
          <w:p>
            <w:pPr>
              <w:spacing w:after="0" w:line="20" w:lineRule="exact"/>
              <w:rPr>
                <w:sz w:val="1"/>
                <w:szCs w:val="1"/>
                <w:color w:val="auto"/>
              </w:rPr>
            </w:pPr>
          </w:p>
        </w:tc>
        <w:tc>
          <w:tcPr>
            <w:tcW w:w="120" w:type="dxa"/>
            <w:vAlign w:val="bottom"/>
            <w:shd w:val="clear" w:color="auto" w:fill="E1E1E1"/>
          </w:tcPr>
          <w:p>
            <w:pPr>
              <w:spacing w:after="0" w:line="20" w:lineRule="exact"/>
              <w:rPr>
                <w:sz w:val="1"/>
                <w:szCs w:val="1"/>
                <w:color w:val="auto"/>
              </w:rPr>
            </w:pPr>
          </w:p>
        </w:tc>
        <w:tc>
          <w:tcPr>
            <w:tcW w:w="160" w:type="dxa"/>
            <w:vAlign w:val="bottom"/>
            <w:shd w:val="clear" w:color="auto" w:fill="1E1E1E"/>
          </w:tcPr>
          <w:p>
            <w:pPr>
              <w:spacing w:after="0" w:line="20" w:lineRule="exact"/>
              <w:rPr>
                <w:sz w:val="1"/>
                <w:szCs w:val="1"/>
                <w:color w:val="auto"/>
              </w:rPr>
            </w:pPr>
          </w:p>
        </w:tc>
        <w:tc>
          <w:tcPr>
            <w:tcW w:w="200" w:type="dxa"/>
            <w:vAlign w:val="bottom"/>
            <w:shd w:val="clear" w:color="auto" w:fill="1E1E1E"/>
          </w:tcPr>
          <w:p>
            <w:pPr>
              <w:spacing w:after="0" w:line="20" w:lineRule="exact"/>
              <w:rPr>
                <w:sz w:val="1"/>
                <w:szCs w:val="1"/>
                <w:color w:val="auto"/>
              </w:rPr>
            </w:pPr>
          </w:p>
        </w:tc>
        <w:tc>
          <w:tcPr>
            <w:tcW w:w="1180" w:type="dxa"/>
            <w:vAlign w:val="bottom"/>
            <w:shd w:val="clear" w:color="auto" w:fill="1E1E1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24.5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31.4</w:t>
            </w: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106.0</w:t>
            </w:r>
          </w:p>
        </w:tc>
        <w:tc>
          <w:tcPr>
            <w:tcW w:w="120" w:type="dxa"/>
            <w:vAlign w:val="bottom"/>
            <w:shd w:val="clear" w:color="auto" w:fill="E1E1E1"/>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(112.9)</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Amortization of intangible assets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(165.1)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Restructuring costs, net</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(36.7)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(19.5)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Transaction, transformation and integration costs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(63.4)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Depreciation</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Operating loss</w:t>
            </w:r>
          </w:p>
        </w:tc>
        <w:tc>
          <w:tcPr>
            <w:tcW w:w="100" w:type="dxa"/>
            <w:vAlign w:val="bottom"/>
            <w:shd w:val="clear" w:color="auto" w:fill="E1E1E1"/>
          </w:tcPr>
          <w:p>
            <w:pPr>
              <w:spacing w:after="0" w:line="20" w:lineRule="exact"/>
              <w:rPr>
                <w:sz w:val="1"/>
                <w:szCs w:val="1"/>
                <w:color w:val="auto"/>
              </w:rPr>
            </w:pPr>
          </w:p>
        </w:tc>
        <w:tc>
          <w:tcPr>
            <w:tcW w:w="920" w:type="dxa"/>
            <w:vAlign w:val="bottom"/>
            <w:shd w:val="clear" w:color="auto" w:fill="E1E1E1"/>
          </w:tcPr>
          <w:p>
            <w:pPr>
              <w:spacing w:after="0" w:line="20" w:lineRule="exact"/>
              <w:rPr>
                <w:sz w:val="1"/>
                <w:szCs w:val="1"/>
                <w:color w:val="auto"/>
              </w:rPr>
            </w:pPr>
          </w:p>
        </w:tc>
        <w:tc>
          <w:tcPr>
            <w:tcW w:w="120" w:type="dxa"/>
            <w:vAlign w:val="bottom"/>
            <w:shd w:val="clear" w:color="auto" w:fill="E1E1E1"/>
          </w:tcPr>
          <w:p>
            <w:pPr>
              <w:spacing w:after="0" w:line="20" w:lineRule="exact"/>
              <w:rPr>
                <w:sz w:val="1"/>
                <w:szCs w:val="1"/>
                <w:color w:val="auto"/>
              </w:rPr>
            </w:pPr>
          </w:p>
        </w:tc>
        <w:tc>
          <w:tcPr>
            <w:tcW w:w="160" w:type="dxa"/>
            <w:vAlign w:val="bottom"/>
            <w:shd w:val="clear" w:color="auto" w:fill="E1E1E1"/>
          </w:tcPr>
          <w:p>
            <w:pPr>
              <w:spacing w:after="0" w:line="20" w:lineRule="exact"/>
              <w:rPr>
                <w:sz w:val="1"/>
                <w:szCs w:val="1"/>
                <w:color w:val="auto"/>
              </w:rPr>
            </w:pPr>
          </w:p>
        </w:tc>
        <w:tc>
          <w:tcPr>
            <w:tcW w:w="240" w:type="dxa"/>
            <w:vAlign w:val="bottom"/>
            <w:shd w:val="clear" w:color="auto" w:fill="E1E1E1"/>
          </w:tcPr>
          <w:p>
            <w:pPr>
              <w:spacing w:after="0" w:line="20" w:lineRule="exact"/>
              <w:rPr>
                <w:sz w:val="1"/>
                <w:szCs w:val="1"/>
                <w:color w:val="auto"/>
              </w:rPr>
            </w:pPr>
          </w:p>
        </w:tc>
        <w:tc>
          <w:tcPr>
            <w:tcW w:w="1040" w:type="dxa"/>
            <w:vAlign w:val="bottom"/>
            <w:shd w:val="clear" w:color="auto" w:fill="E1E1E1"/>
          </w:tcPr>
          <w:p>
            <w:pPr>
              <w:spacing w:after="0" w:line="20" w:lineRule="exact"/>
              <w:rPr>
                <w:sz w:val="1"/>
                <w:szCs w:val="1"/>
                <w:color w:val="auto"/>
              </w:rPr>
            </w:pPr>
          </w:p>
        </w:tc>
        <w:tc>
          <w:tcPr>
            <w:tcW w:w="120" w:type="dxa"/>
            <w:vAlign w:val="bottom"/>
            <w:shd w:val="clear" w:color="auto" w:fill="E1E1E1"/>
          </w:tcPr>
          <w:p>
            <w:pPr>
              <w:spacing w:after="0" w:line="20" w:lineRule="exact"/>
              <w:rPr>
                <w:sz w:val="1"/>
                <w:szCs w:val="1"/>
                <w:color w:val="auto"/>
              </w:rPr>
            </w:pPr>
          </w:p>
        </w:tc>
        <w:tc>
          <w:tcPr>
            <w:tcW w:w="160" w:type="dxa"/>
            <w:vAlign w:val="bottom"/>
            <w:shd w:val="clear" w:color="auto" w:fill="E1E1E1"/>
          </w:tcPr>
          <w:p>
            <w:pPr>
              <w:spacing w:after="0" w:line="20" w:lineRule="exact"/>
              <w:rPr>
                <w:sz w:val="1"/>
                <w:szCs w:val="1"/>
                <w:color w:val="auto"/>
              </w:rPr>
            </w:pPr>
          </w:p>
        </w:tc>
        <w:tc>
          <w:tcPr>
            <w:tcW w:w="200" w:type="dxa"/>
            <w:vAlign w:val="bottom"/>
            <w:shd w:val="clear" w:color="auto" w:fill="E1E1E1"/>
          </w:tcPr>
          <w:p>
            <w:pPr>
              <w:spacing w:after="0" w:line="20" w:lineRule="exact"/>
              <w:rPr>
                <w:sz w:val="1"/>
                <w:szCs w:val="1"/>
                <w:color w:val="auto"/>
              </w:rPr>
            </w:pPr>
          </w:p>
        </w:tc>
        <w:tc>
          <w:tcPr>
            <w:tcW w:w="1180" w:type="dxa"/>
            <w:vAlign w:val="bottom"/>
            <w:shd w:val="clear" w:color="auto" w:fill="E1E1E1"/>
          </w:tcPr>
          <w:p>
            <w:pPr>
              <w:spacing w:after="0" w:line="20" w:lineRule="exact"/>
              <w:rPr>
                <w:sz w:val="1"/>
                <w:szCs w:val="1"/>
                <w:color w:val="auto"/>
              </w:rPr>
            </w:pPr>
          </w:p>
        </w:tc>
        <w:tc>
          <w:tcPr>
            <w:tcW w:w="280" w:type="dxa"/>
            <w:vAlign w:val="bottom"/>
            <w:shd w:val="clear" w:color="auto" w:fill="E1E1E1"/>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92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104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18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(291.7)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Other expense, net</w:t>
            </w:r>
          </w:p>
        </w:tc>
        <w:tc>
          <w:tcPr>
            <w:tcW w:w="100" w:type="dxa"/>
            <w:vAlign w:val="bottom"/>
            <w:tcBorders>
              <w:bottom w:val="single" w:sz="8" w:color="E1E1E1"/>
            </w:tcBorders>
          </w:tcPr>
          <w:p>
            <w:pPr>
              <w:spacing w:after="0"/>
              <w:rPr>
                <w:sz w:val="21"/>
                <w:szCs w:val="21"/>
                <w:color w:val="auto"/>
              </w:rPr>
            </w:pPr>
          </w:p>
        </w:tc>
        <w:tc>
          <w:tcPr>
            <w:tcW w:w="920" w:type="dxa"/>
            <w:vAlign w:val="bottom"/>
            <w:tcBorders>
              <w:bottom w:val="single" w:sz="8" w:color="E1E1E1"/>
            </w:tcBorders>
          </w:tcPr>
          <w:p>
            <w:pPr>
              <w:spacing w:after="0"/>
              <w:rPr>
                <w:sz w:val="21"/>
                <w:szCs w:val="21"/>
                <w:color w:val="auto"/>
              </w:rPr>
            </w:pPr>
          </w:p>
        </w:tc>
        <w:tc>
          <w:tcPr>
            <w:tcW w:w="120" w:type="dxa"/>
            <w:vAlign w:val="bottom"/>
            <w:tcBorders>
              <w:bottom w:val="single" w:sz="8" w:color="E1E1E1"/>
            </w:tcBorders>
          </w:tcPr>
          <w:p>
            <w:pPr>
              <w:spacing w:after="0"/>
              <w:rPr>
                <w:sz w:val="21"/>
                <w:szCs w:val="21"/>
                <w:color w:val="auto"/>
              </w:rPr>
            </w:pPr>
          </w:p>
        </w:tc>
        <w:tc>
          <w:tcPr>
            <w:tcW w:w="160" w:type="dxa"/>
            <w:vAlign w:val="bottom"/>
            <w:tcBorders>
              <w:bottom w:val="single" w:sz="8" w:color="E1E1E1"/>
            </w:tcBorders>
          </w:tcPr>
          <w:p>
            <w:pPr>
              <w:spacing w:after="0"/>
              <w:rPr>
                <w:sz w:val="21"/>
                <w:szCs w:val="21"/>
                <w:color w:val="auto"/>
              </w:rPr>
            </w:pPr>
          </w:p>
        </w:tc>
        <w:tc>
          <w:tcPr>
            <w:tcW w:w="240" w:type="dxa"/>
            <w:vAlign w:val="bottom"/>
            <w:tcBorders>
              <w:bottom w:val="single" w:sz="8" w:color="E1E1E1"/>
            </w:tcBorders>
          </w:tcPr>
          <w:p>
            <w:pPr>
              <w:spacing w:after="0"/>
              <w:rPr>
                <w:sz w:val="21"/>
                <w:szCs w:val="21"/>
                <w:color w:val="auto"/>
              </w:rPr>
            </w:pPr>
          </w:p>
        </w:tc>
        <w:tc>
          <w:tcPr>
            <w:tcW w:w="1040" w:type="dxa"/>
            <w:vAlign w:val="bottom"/>
            <w:tcBorders>
              <w:bottom w:val="single" w:sz="8" w:color="E1E1E1"/>
            </w:tcBorders>
          </w:tcPr>
          <w:p>
            <w:pPr>
              <w:spacing w:after="0"/>
              <w:rPr>
                <w:sz w:val="21"/>
                <w:szCs w:val="21"/>
                <w:color w:val="auto"/>
              </w:rPr>
            </w:pPr>
          </w:p>
        </w:tc>
        <w:tc>
          <w:tcPr>
            <w:tcW w:w="120" w:type="dxa"/>
            <w:vAlign w:val="bottom"/>
            <w:tcBorders>
              <w:bottom w:val="single" w:sz="8" w:color="E1E1E1"/>
            </w:tcBorders>
          </w:tcPr>
          <w:p>
            <w:pPr>
              <w:spacing w:after="0"/>
              <w:rPr>
                <w:sz w:val="21"/>
                <w:szCs w:val="21"/>
                <w:color w:val="auto"/>
              </w:rPr>
            </w:pPr>
          </w:p>
        </w:tc>
        <w:tc>
          <w:tcPr>
            <w:tcW w:w="160" w:type="dxa"/>
            <w:vAlign w:val="bottom"/>
            <w:tcBorders>
              <w:bottom w:val="single" w:sz="8" w:color="E1E1E1"/>
            </w:tcBorders>
          </w:tcPr>
          <w:p>
            <w:pPr>
              <w:spacing w:after="0"/>
              <w:rPr>
                <w:sz w:val="21"/>
                <w:szCs w:val="21"/>
                <w:color w:val="auto"/>
              </w:rPr>
            </w:pPr>
          </w:p>
        </w:tc>
        <w:tc>
          <w:tcPr>
            <w:tcW w:w="200" w:type="dxa"/>
            <w:vAlign w:val="bottom"/>
            <w:tcBorders>
              <w:bottom w:val="single" w:sz="8" w:color="E1E1E1"/>
            </w:tcBorders>
          </w:tcPr>
          <w:p>
            <w:pPr>
              <w:spacing w:after="0"/>
              <w:rPr>
                <w:sz w:val="21"/>
                <w:szCs w:val="21"/>
                <w:color w:val="auto"/>
              </w:rPr>
            </w:pPr>
          </w:p>
        </w:tc>
        <w:tc>
          <w:tcPr>
            <w:tcW w:w="1180" w:type="dxa"/>
            <w:vAlign w:val="bottom"/>
            <w:tcBorders>
              <w:bottom w:val="single" w:sz="8" w:color="E1E1E1"/>
            </w:tcBorders>
          </w:tcPr>
          <w:p>
            <w:pPr>
              <w:spacing w:after="0"/>
              <w:rPr>
                <w:sz w:val="21"/>
                <w:szCs w:val="21"/>
                <w:color w:val="auto"/>
              </w:rPr>
            </w:pPr>
          </w:p>
        </w:tc>
        <w:tc>
          <w:tcPr>
            <w:tcW w:w="280" w:type="dxa"/>
            <w:vAlign w:val="bottom"/>
            <w:tcBorders>
              <w:bottom w:val="single" w:sz="8" w:color="E1E1E1"/>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Loss from continuing operations before income taxes</w:t>
            </w:r>
          </w:p>
        </w:tc>
        <w:tc>
          <w:tcPr>
            <w:tcW w:w="100" w:type="dxa"/>
            <w:vAlign w:val="bottom"/>
            <w:shd w:val="clear" w:color="auto" w:fill="E1E1E1"/>
          </w:tcPr>
          <w:p>
            <w:pPr>
              <w:spacing w:after="0"/>
              <w:rPr>
                <w:sz w:val="20"/>
                <w:szCs w:val="20"/>
                <w:color w:val="auto"/>
              </w:rPr>
            </w:pPr>
          </w:p>
        </w:tc>
        <w:tc>
          <w:tcPr>
            <w:tcW w:w="92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1040" w:type="dxa"/>
            <w:vAlign w:val="bottom"/>
            <w:shd w:val="clear" w:color="auto" w:fill="E1E1E1"/>
          </w:tcPr>
          <w:p>
            <w:pPr>
              <w:spacing w:after="0"/>
              <w:rPr>
                <w:sz w:val="20"/>
                <w:szCs w:val="20"/>
                <w:color w:val="auto"/>
              </w:rPr>
            </w:pP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18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Depreciation</w:t>
            </w: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120" w:type="dxa"/>
            <w:vAlign w:val="bottom"/>
            <w:shd w:val="clear" w:color="auto" w:fill="E1E1E1"/>
          </w:tcPr>
          <w:p>
            <w:pPr>
              <w:spacing w:after="0"/>
              <w:rPr>
                <w:sz w:val="21"/>
                <w:szCs w:val="21"/>
                <w:color w:val="auto"/>
              </w:rPr>
            </w:pPr>
          </w:p>
        </w:tc>
        <w:tc>
          <w:tcPr>
            <w:tcW w:w="40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18.5</w:t>
            </w:r>
          </w:p>
        </w:tc>
        <w:tc>
          <w:tcPr>
            <w:tcW w:w="120" w:type="dxa"/>
            <w:vAlign w:val="bottom"/>
            <w:shd w:val="clear" w:color="auto" w:fill="E1E1E1"/>
          </w:tcPr>
          <w:p>
            <w:pPr>
              <w:spacing w:after="0"/>
              <w:rPr>
                <w:sz w:val="21"/>
                <w:szCs w:val="21"/>
                <w:color w:val="auto"/>
              </w:rPr>
            </w:pPr>
          </w:p>
        </w:tc>
        <w:tc>
          <w:tcPr>
            <w:tcW w:w="36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280" w:type="dxa"/>
            <w:vAlign w:val="bottom"/>
            <w:shd w:val="clear" w:color="auto" w:fill="E1E1E1"/>
          </w:tcPr>
          <w:p>
            <w:pPr>
              <w:spacing w:after="0"/>
              <w:rPr>
                <w:sz w:val="21"/>
                <w:szCs w:val="21"/>
                <w:color w:val="auto"/>
              </w:rPr>
            </w:pP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31.5</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Additions to property, plant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120" w:type="dxa"/>
            <w:vAlign w:val="bottom"/>
          </w:tcPr>
          <w:p>
            <w:pPr>
              <w:spacing w:after="0"/>
              <w:rPr>
                <w:sz w:val="23"/>
                <w:szCs w:val="2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1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280" w:type="dxa"/>
            <w:vAlign w:val="bottom"/>
          </w:tcPr>
          <w:p>
            <w:pPr>
              <w:spacing w:after="0"/>
              <w:rPr>
                <w:sz w:val="23"/>
                <w:szCs w:val="23"/>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-1931035</wp:posOffset>
            </wp:positionV>
            <wp:extent cx="1958975" cy="164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6">
                      <a:extLst>
                        <a:ext uri="{28A0092B-C50C-407E-A947-70E740481C1C}"/>
                      </a:extLst>
                    </a:blip>
                    <a:srcRect/>
                    <a:stretch>
                      <a:fillRect/>
                    </a:stretch>
                  </pic:blipFill>
                  <pic:spPr bwMode="auto">
                    <a:xfrm>
                      <a:off x="0" y="0"/>
                      <a:ext cx="1958975" cy="164465"/>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-982345</wp:posOffset>
            </wp:positionV>
            <wp:extent cx="743585" cy="154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a:extLst>
                        <a:ext uri="{28A0092B-C50C-407E-A947-70E740481C1C}"/>
                      </a:extLst>
                    </a:blip>
                    <a:srcRect/>
                    <a:stretch>
                      <a:fillRect/>
                    </a:stretch>
                  </pic:blipFill>
                  <pic:spPr bwMode="auto">
                    <a:xfrm>
                      <a:off x="0" y="0"/>
                      <a:ext cx="743585" cy="154940"/>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-662940</wp:posOffset>
            </wp:positionV>
            <wp:extent cx="743585" cy="154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8">
                      <a:extLst>
                        <a:ext uri="{28A0092B-C50C-407E-A947-70E740481C1C}"/>
                      </a:extLst>
                    </a:blip>
                    <a:srcRect/>
                    <a:stretch>
                      <a:fillRect/>
                    </a:stretch>
                  </pic:blipFill>
                  <pic:spPr bwMode="auto">
                    <a:xfrm>
                      <a:off x="0" y="0"/>
                      <a:ext cx="743585" cy="154940"/>
                    </a:xfrm>
                    <a:prstGeom prst="rect">
                      <a:avLst/>
                    </a:prstGeom>
                    <a:noFill/>
                  </pic:spPr>
                </pic:pic>
              </a:graphicData>
            </a:graphic>
          </wp:anchor>
        </w:drawing>
      </w:r>
    </w:p>
    <w:p>
      <w:pPr>
        <w:spacing w:after="0" w:line="56" w:lineRule="exact"/>
        <w:rPr>
          <w:sz w:val="20"/>
          <w:szCs w:val="20"/>
          <w:color w:val="auto"/>
        </w:rPr>
      </w:pPr>
    </w:p>
    <w:p>
      <w:pPr>
        <w:ind w:left="480" w:hanging="480"/>
        <w:spacing w:after="0"/>
        <w:tabs>
          <w:tab w:leader="none" w:pos="480" w:val="left"/>
        </w:tabs>
        <w:numPr>
          <w:ilvl w:val="0"/>
          <w:numId w:val="7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Includes activity of the OneCell business for periods prior to its disposition.</w:t>
      </w:r>
    </w:p>
    <w:p>
      <w:pPr>
        <w:spacing w:after="0" w:line="60" w:lineRule="exact"/>
        <w:rPr>
          <w:rFonts w:ascii="Times New Roman" w:cs="Times New Roman" w:eastAsia="Times New Roman" w:hAnsi="Times New Roman"/>
          <w:sz w:val="19"/>
          <w:szCs w:val="19"/>
          <w:color w:val="1E1E1E"/>
        </w:rPr>
      </w:pPr>
    </w:p>
    <w:p>
      <w:pPr>
        <w:ind w:left="480" w:right="80" w:hanging="480"/>
        <w:spacing w:after="0" w:line="248" w:lineRule="auto"/>
        <w:tabs>
          <w:tab w:leader="none" w:pos="480" w:val="left"/>
        </w:tabs>
        <w:numPr>
          <w:ilvl w:val="0"/>
          <w:numId w:val="7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corporate and other category above primarily reflects general corporate costs that were previously allocated to the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will be reallocated to the Company’s remaining segments beginning in the first quarter of 2026.</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97</w:t>
      </w:r>
    </w:p>
    <w:p>
      <w:pPr>
        <w:sectPr>
          <w:pgSz w:w="11880" w:h="15480" w:orient="portrait"/>
          <w:cols w:equalWidth="0" w:num="1">
            <w:col w:w="10800"/>
          </w:cols>
          <w:pgMar w:left="540" w:top="515" w:right="54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1E1E1E"/>
        </w:rPr>
        <w:t>The following table provides net sales, cost of sales, total operating expenses, adjusted EBITDA, depreciation expense and additions to property, plant and equipment by reportable segment for the year ended December 31,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1E1E1E"/>
                <w:w w:val="98"/>
              </w:rPr>
              <w:t>Corporate</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w w:val="96"/>
              </w:rPr>
              <w:t xml:space="preserve">RUCKUS </w:t>
            </w:r>
            <w:r>
              <w:rPr>
                <w:rFonts w:ascii="Times New Roman" w:cs="Times New Roman" w:eastAsia="Times New Roman" w:hAnsi="Times New Roman"/>
                <w:sz w:val="10"/>
                <w:szCs w:val="10"/>
                <w:b w:val="1"/>
                <w:bCs w:val="1"/>
                <w:color w:val="1E1E1E"/>
                <w:w w:val="96"/>
              </w:rPr>
              <w:t>(1)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Aurora</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1E1E1E"/>
              </w:rPr>
              <w:t xml:space="preserve">and other </w:t>
            </w:r>
            <w:r>
              <w:rPr>
                <w:rFonts w:ascii="Times New Roman" w:cs="Times New Roman" w:eastAsia="Times New Roman" w:hAnsi="Times New Roman"/>
                <w:sz w:val="10"/>
                <w:szCs w:val="10"/>
                <w:b w:val="1"/>
                <w:bCs w:val="1"/>
                <w:color w:val="1E1E1E"/>
              </w:rPr>
              <w:t>(2)</w:t>
            </w:r>
          </w:p>
        </w:tc>
        <w:tc>
          <w:tcPr>
            <w:tcW w:w="26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Net sales</w:t>
            </w:r>
          </w:p>
        </w:tc>
        <w:tc>
          <w:tcPr>
            <w:tcW w:w="1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767.7</w:t>
            </w:r>
          </w:p>
        </w:tc>
        <w:tc>
          <w:tcPr>
            <w:tcW w:w="120" w:type="dxa"/>
            <w:vAlign w:val="bottom"/>
            <w:tcBorders>
              <w:top w:val="single" w:sz="8" w:color="E1E1E1"/>
            </w:tcBorders>
            <w:shd w:val="clear" w:color="auto" w:fill="E1E1E1"/>
          </w:tcPr>
          <w:p>
            <w:pPr>
              <w:spacing w:after="0"/>
              <w:rPr>
                <w:sz w:val="20"/>
                <w:szCs w:val="20"/>
                <w:color w:val="auto"/>
              </w:rPr>
            </w:pPr>
          </w:p>
        </w:tc>
        <w:tc>
          <w:tcPr>
            <w:tcW w:w="160" w:type="dxa"/>
            <w:vAlign w:val="bottom"/>
            <w:tcBorders>
              <w:top w:val="single" w:sz="8" w:color="E1E1E1"/>
            </w:tcBorders>
            <w:shd w:val="clear" w:color="auto" w:fill="E1E1E1"/>
          </w:tcPr>
          <w:p>
            <w:pPr>
              <w:spacing w:after="0"/>
              <w:rPr>
                <w:sz w:val="20"/>
                <w:szCs w:val="20"/>
                <w:color w:val="auto"/>
              </w:rPr>
            </w:pPr>
          </w:p>
        </w:tc>
        <w:tc>
          <w:tcPr>
            <w:tcW w:w="240" w:type="dxa"/>
            <w:vAlign w:val="bottom"/>
            <w:tcBorders>
              <w:top w:val="single" w:sz="8" w:color="1E1E1E"/>
            </w:tcBorders>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1,095.6</w:t>
            </w:r>
          </w:p>
        </w:tc>
        <w:tc>
          <w:tcPr>
            <w:tcW w:w="120" w:type="dxa"/>
            <w:vAlign w:val="bottom"/>
            <w:tcBorders>
              <w:top w:val="single" w:sz="8" w:color="E1E1E1"/>
            </w:tcBorders>
            <w:shd w:val="clear" w:color="auto" w:fill="E1E1E1"/>
          </w:tcPr>
          <w:p>
            <w:pPr>
              <w:spacing w:after="0"/>
              <w:rPr>
                <w:sz w:val="20"/>
                <w:szCs w:val="20"/>
                <w:color w:val="auto"/>
              </w:rPr>
            </w:pPr>
          </w:p>
        </w:tc>
        <w:tc>
          <w:tcPr>
            <w:tcW w:w="16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0.5</w:t>
            </w:r>
          </w:p>
        </w:tc>
        <w:tc>
          <w:tcPr>
            <w:tcW w:w="120" w:type="dxa"/>
            <w:vAlign w:val="bottom"/>
            <w:tcBorders>
              <w:top w:val="single" w:sz="8" w:color="E1E1E1"/>
            </w:tcBorders>
            <w:shd w:val="clear" w:color="auto" w:fill="E1E1E1"/>
          </w:tcPr>
          <w:p>
            <w:pPr>
              <w:spacing w:after="0"/>
              <w:rPr>
                <w:sz w:val="20"/>
                <w:szCs w:val="20"/>
                <w:color w:val="auto"/>
              </w:rPr>
            </w:pPr>
          </w:p>
        </w:tc>
        <w:tc>
          <w:tcPr>
            <w:tcW w:w="160" w:type="dxa"/>
            <w:vAlign w:val="bottom"/>
            <w:tcBorders>
              <w:top w:val="single" w:sz="8" w:color="E1E1E1"/>
            </w:tcBorders>
            <w:shd w:val="clear" w:color="auto" w:fill="E1E1E1"/>
          </w:tcPr>
          <w:p>
            <w:pPr>
              <w:spacing w:after="0"/>
              <w:rPr>
                <w:sz w:val="20"/>
                <w:szCs w:val="20"/>
                <w:color w:val="auto"/>
              </w:rPr>
            </w:pPr>
          </w:p>
        </w:tc>
        <w:tc>
          <w:tcPr>
            <w:tcW w:w="260" w:type="dxa"/>
            <w:vAlign w:val="bottom"/>
            <w:tcBorders>
              <w:top w:val="single" w:sz="8" w:color="1E1E1E"/>
            </w:tcBorders>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1,863.8</w:t>
            </w:r>
          </w:p>
        </w:tc>
        <w:tc>
          <w:tcPr>
            <w:tcW w:w="80" w:type="dxa"/>
            <w:vAlign w:val="bottom"/>
            <w:tcBorders>
              <w:top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Borders>
              <w:bottom w:val="single" w:sz="8" w:color="E1E1E1"/>
            </w:tcBorders>
          </w:tcPr>
          <w:p>
            <w:pPr>
              <w:spacing w:after="0" w:line="243" w:lineRule="exact"/>
              <w:rPr>
                <w:sz w:val="20"/>
                <w:szCs w:val="20"/>
                <w:color w:val="auto"/>
              </w:rPr>
            </w:pPr>
            <w:r>
              <w:rPr>
                <w:rFonts w:ascii="Times New Roman" w:cs="Times New Roman" w:eastAsia="Times New Roman" w:hAnsi="Times New Roman"/>
                <w:sz w:val="20"/>
                <w:szCs w:val="20"/>
                <w:color w:val="1E1E1E"/>
              </w:rPr>
              <w:t xml:space="preserve">Acquisition-related adjustments </w:t>
            </w:r>
            <w:r>
              <w:rPr>
                <w:rFonts w:ascii="Times New Roman" w:cs="Times New Roman" w:eastAsia="Times New Roman" w:hAnsi="Times New Roman"/>
                <w:sz w:val="26"/>
                <w:szCs w:val="26"/>
                <w:color w:val="1E1E1E"/>
                <w:vertAlign w:val="superscript"/>
              </w:rPr>
              <w:t>(3)</w:t>
            </w:r>
          </w:p>
        </w:tc>
        <w:tc>
          <w:tcPr>
            <w:tcW w:w="100" w:type="dxa"/>
            <w:vAlign w:val="bottom"/>
            <w:tcBorders>
              <w:bottom w:val="single" w:sz="8" w:color="1E1E1E"/>
            </w:tcBorders>
          </w:tcPr>
          <w:p>
            <w:pPr>
              <w:spacing w:after="0"/>
              <w:rPr>
                <w:sz w:val="21"/>
                <w:szCs w:val="21"/>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120" w:type="dxa"/>
            <w:vAlign w:val="bottom"/>
            <w:tcBorders>
              <w:bottom w:val="single" w:sz="8" w:color="E1E1E1"/>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1E1E1"/>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1E1E1"/>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80" w:type="dxa"/>
            <w:vAlign w:val="bottom"/>
            <w:tcBorders>
              <w:bottom w:val="single" w:sz="8" w:color="E1E1E1"/>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Segment net sales</w:t>
            </w:r>
          </w:p>
        </w:tc>
        <w:tc>
          <w:tcPr>
            <w:tcW w:w="10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769.0</w:t>
            </w: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1,095.6</w:t>
            </w: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0.5</w:t>
            </w: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6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1,865.1</w:t>
            </w:r>
          </w:p>
        </w:tc>
        <w:tc>
          <w:tcPr>
            <w:tcW w:w="8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Cost and expenses: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Segment cost of sales</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Segment operating expenses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334.6</w:t>
            </w: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262.0</w:t>
            </w: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175.8</w:t>
            </w: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Addback: Depreciation</w:t>
            </w:r>
          </w:p>
        </w:tc>
        <w:tc>
          <w:tcPr>
            <w:tcW w:w="1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(9.5)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(23.4)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(13.5)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shd w:val="clear" w:color="auto" w:fill="E1E1E1"/>
          </w:tcPr>
          <w:p>
            <w:pPr>
              <w:spacing w:after="0"/>
              <w:rPr>
                <w:sz w:val="20"/>
                <w:szCs w:val="20"/>
                <w:color w:val="auto"/>
              </w:rPr>
            </w:pPr>
            <w:r>
              <w:rPr>
                <w:rFonts w:ascii="Times New Roman" w:cs="Times New Roman" w:eastAsia="Times New Roman" w:hAnsi="Times New Roman"/>
                <w:sz w:val="20"/>
                <w:szCs w:val="20"/>
                <w:color w:val="1E1E1E"/>
              </w:rPr>
              <w:t>Segment adjusted EBITDA</w:t>
            </w:r>
          </w:p>
        </w:tc>
        <w:tc>
          <w:tcPr>
            <w:tcW w:w="10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120" w:type="dxa"/>
            <w:vAlign w:val="bottom"/>
            <w:shd w:val="clear" w:color="auto" w:fill="E1E1E1"/>
          </w:tcPr>
          <w:p>
            <w:pPr>
              <w:spacing w:after="0" w:line="20" w:lineRule="exact"/>
              <w:rPr>
                <w:sz w:val="1"/>
                <w:szCs w:val="1"/>
                <w:color w:val="auto"/>
              </w:rPr>
            </w:pPr>
          </w:p>
        </w:tc>
        <w:tc>
          <w:tcPr>
            <w:tcW w:w="160" w:type="dxa"/>
            <w:vAlign w:val="bottom"/>
            <w:shd w:val="clear" w:color="auto" w:fill="1E1E1E"/>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1040" w:type="dxa"/>
            <w:vAlign w:val="bottom"/>
            <w:shd w:val="clear" w:color="auto" w:fill="1E1E1E"/>
          </w:tcPr>
          <w:p>
            <w:pPr>
              <w:spacing w:after="0" w:line="20" w:lineRule="exact"/>
              <w:rPr>
                <w:sz w:val="1"/>
                <w:szCs w:val="1"/>
                <w:color w:val="auto"/>
              </w:rPr>
            </w:pPr>
          </w:p>
        </w:tc>
        <w:tc>
          <w:tcPr>
            <w:tcW w:w="120" w:type="dxa"/>
            <w:vAlign w:val="bottom"/>
            <w:shd w:val="clear" w:color="auto" w:fill="E1E1E1"/>
          </w:tcPr>
          <w:p>
            <w:pPr>
              <w:spacing w:after="0" w:line="20" w:lineRule="exact"/>
              <w:rPr>
                <w:sz w:val="1"/>
                <w:szCs w:val="1"/>
                <w:color w:val="auto"/>
              </w:rPr>
            </w:pPr>
          </w:p>
        </w:tc>
        <w:tc>
          <w:tcPr>
            <w:tcW w:w="160" w:type="dxa"/>
            <w:vAlign w:val="bottom"/>
            <w:shd w:val="clear" w:color="auto" w:fill="1E1E1E"/>
          </w:tcPr>
          <w:p>
            <w:pPr>
              <w:spacing w:after="0" w:line="20" w:lineRule="exact"/>
              <w:rPr>
                <w:sz w:val="1"/>
                <w:szCs w:val="1"/>
                <w:color w:val="auto"/>
              </w:rPr>
            </w:pPr>
          </w:p>
        </w:tc>
        <w:tc>
          <w:tcPr>
            <w:tcW w:w="200" w:type="dxa"/>
            <w:vAlign w:val="bottom"/>
            <w:shd w:val="clear" w:color="auto" w:fill="1E1E1E"/>
          </w:tcPr>
          <w:p>
            <w:pPr>
              <w:spacing w:after="0" w:line="20" w:lineRule="exact"/>
              <w:rPr>
                <w:sz w:val="1"/>
                <w:szCs w:val="1"/>
                <w:color w:val="auto"/>
              </w:rPr>
            </w:pPr>
          </w:p>
        </w:tc>
        <w:tc>
          <w:tcPr>
            <w:tcW w:w="1180" w:type="dxa"/>
            <w:vAlign w:val="bottom"/>
            <w:shd w:val="clear" w:color="auto" w:fill="1E1E1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175.2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140.8</w:t>
            </w:r>
          </w:p>
        </w:tc>
        <w:tc>
          <w:tcPr>
            <w:tcW w:w="120" w:type="dxa"/>
            <w:vAlign w:val="bottom"/>
            <w:shd w:val="clear" w:color="auto" w:fill="E1E1E1"/>
          </w:tcPr>
          <w:p>
            <w:pPr>
              <w:spacing w:after="0"/>
              <w:rPr>
                <w:sz w:val="20"/>
                <w:szCs w:val="20"/>
                <w:color w:val="auto"/>
              </w:rPr>
            </w:pPr>
          </w:p>
        </w:tc>
        <w:tc>
          <w:tcPr>
            <w:tcW w:w="160" w:type="dxa"/>
            <w:vAlign w:val="bottom"/>
            <w:shd w:val="clear" w:color="auto" w:fill="E1E1E1"/>
          </w:tcPr>
          <w:p>
            <w:pPr>
              <w:spacing w:after="0"/>
              <w:rPr>
                <w:sz w:val="20"/>
                <w:szCs w:val="20"/>
                <w:color w:val="auto"/>
              </w:rPr>
            </w:pPr>
          </w:p>
        </w:tc>
        <w:tc>
          <w:tcPr>
            <w:tcW w:w="240" w:type="dxa"/>
            <w:vAlign w:val="bottom"/>
            <w:shd w:val="clear" w:color="auto" w:fill="E1E1E1"/>
          </w:tcPr>
          <w:p>
            <w:pPr>
              <w:spacing w:after="0"/>
              <w:rPr>
                <w:sz w:val="20"/>
                <w:szCs w:val="20"/>
                <w:color w:val="auto"/>
              </w:rPr>
            </w:pP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216.7</w:t>
            </w:r>
          </w:p>
        </w:tc>
        <w:tc>
          <w:tcPr>
            <w:tcW w:w="120" w:type="dxa"/>
            <w:vAlign w:val="bottom"/>
            <w:shd w:val="clear" w:color="auto" w:fill="E1E1E1"/>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(182.3)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Amortization of intangible assets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(227.0)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Restructuring costs, net</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(29.4)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Equity-based compensation</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Asset impairments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(472.3)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Transaction, transformation and integration costs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(27.1)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Acquisition accounting adjustments</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Patent claims and litigation settlements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Recovery of Russian accounts receivable</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Cyber incident costs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Depreciation</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(46.4)</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1E1E1E"/>
              </w:rPr>
              <w:t>Operating loss</w:t>
            </w: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(659.6)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Other expense, net</w:t>
            </w:r>
          </w:p>
        </w:tc>
        <w:tc>
          <w:tcPr>
            <w:tcW w:w="100" w:type="dxa"/>
            <w:vAlign w:val="bottom"/>
            <w:shd w:val="clear" w:color="auto" w:fill="E1E1E1"/>
          </w:tcPr>
          <w:p>
            <w:pPr>
              <w:spacing w:after="0"/>
              <w:rPr>
                <w:sz w:val="21"/>
                <w:szCs w:val="21"/>
                <w:color w:val="auto"/>
              </w:rPr>
            </w:pPr>
          </w:p>
        </w:tc>
        <w:tc>
          <w:tcPr>
            <w:tcW w:w="92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40" w:type="dxa"/>
            <w:vAlign w:val="bottom"/>
            <w:shd w:val="clear" w:color="auto" w:fill="E1E1E1"/>
          </w:tcPr>
          <w:p>
            <w:pPr>
              <w:spacing w:after="0"/>
              <w:rPr>
                <w:sz w:val="21"/>
                <w:szCs w:val="21"/>
                <w:color w:val="auto"/>
              </w:rPr>
            </w:pPr>
          </w:p>
        </w:tc>
        <w:tc>
          <w:tcPr>
            <w:tcW w:w="104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18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60" w:type="dxa"/>
            <w:vAlign w:val="bottom"/>
            <w:tcBorders>
              <w:bottom w:val="single" w:sz="8" w:color="1E1E1E"/>
            </w:tcBorders>
            <w:shd w:val="clear" w:color="auto" w:fill="E1E1E1"/>
          </w:tcPr>
          <w:p>
            <w:pPr>
              <w:spacing w:after="0"/>
              <w:rPr>
                <w:sz w:val="21"/>
                <w:szCs w:val="21"/>
                <w:color w:val="auto"/>
              </w:rPr>
            </w:pPr>
          </w:p>
        </w:tc>
        <w:tc>
          <w:tcPr>
            <w:tcW w:w="9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86.6</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020" w:type="dxa"/>
            <w:vAlign w:val="bottom"/>
            <w:gridSpan w:val="2"/>
          </w:tcPr>
          <w:p>
            <w:pPr>
              <w:spacing w:after="0" w:line="218" w:lineRule="exact"/>
              <w:rPr>
                <w:sz w:val="20"/>
                <w:szCs w:val="20"/>
                <w:color w:val="auto"/>
              </w:rPr>
            </w:pPr>
            <w:r>
              <w:rPr>
                <w:rFonts w:ascii="Times New Roman" w:cs="Times New Roman" w:eastAsia="Times New Roman" w:hAnsi="Times New Roman"/>
                <w:sz w:val="20"/>
                <w:szCs w:val="20"/>
                <w:color w:val="1E1E1E"/>
              </w:rPr>
              <w:t>Loss from continuing operations before income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taxes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(573.0)</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000" w:type="dxa"/>
            <w:vAlign w:val="bottom"/>
            <w:tcBorders>
              <w:top w:val="single" w:sz="8" w:color="E1E1E1"/>
            </w:tcBorders>
            <w:shd w:val="clear" w:color="auto" w:fill="E1E1E1"/>
          </w:tcPr>
          <w:p>
            <w:pPr>
              <w:spacing w:after="0"/>
              <w:rPr>
                <w:sz w:val="19"/>
                <w:szCs w:val="19"/>
                <w:color w:val="auto"/>
              </w:rPr>
            </w:pPr>
          </w:p>
        </w:tc>
        <w:tc>
          <w:tcPr>
            <w:tcW w:w="100" w:type="dxa"/>
            <w:vAlign w:val="bottom"/>
            <w:tcBorders>
              <w:top w:val="single" w:sz="8" w:color="E1E1E1"/>
            </w:tcBorders>
            <w:shd w:val="clear" w:color="auto" w:fill="E1E1E1"/>
          </w:tcPr>
          <w:p>
            <w:pPr>
              <w:spacing w:after="0"/>
              <w:rPr>
                <w:sz w:val="19"/>
                <w:szCs w:val="19"/>
                <w:color w:val="auto"/>
              </w:rPr>
            </w:pPr>
          </w:p>
        </w:tc>
        <w:tc>
          <w:tcPr>
            <w:tcW w:w="920" w:type="dxa"/>
            <w:vAlign w:val="bottom"/>
            <w:tcBorders>
              <w:top w:val="single" w:sz="8" w:color="E1E1E1"/>
            </w:tcBorders>
            <w:shd w:val="clear" w:color="auto" w:fill="E1E1E1"/>
          </w:tcPr>
          <w:p>
            <w:pPr>
              <w:spacing w:after="0"/>
              <w:rPr>
                <w:sz w:val="19"/>
                <w:szCs w:val="19"/>
                <w:color w:val="auto"/>
              </w:rPr>
            </w:pPr>
          </w:p>
        </w:tc>
        <w:tc>
          <w:tcPr>
            <w:tcW w:w="120" w:type="dxa"/>
            <w:vAlign w:val="bottom"/>
            <w:tcBorders>
              <w:top w:val="single" w:sz="8" w:color="E1E1E1"/>
            </w:tcBorders>
            <w:shd w:val="clear" w:color="auto" w:fill="E1E1E1"/>
          </w:tcPr>
          <w:p>
            <w:pPr>
              <w:spacing w:after="0"/>
              <w:rPr>
                <w:sz w:val="19"/>
                <w:szCs w:val="19"/>
                <w:color w:val="auto"/>
              </w:rPr>
            </w:pPr>
          </w:p>
        </w:tc>
        <w:tc>
          <w:tcPr>
            <w:tcW w:w="160" w:type="dxa"/>
            <w:vAlign w:val="bottom"/>
            <w:tcBorders>
              <w:top w:val="single" w:sz="8" w:color="E1E1E1"/>
            </w:tcBorders>
            <w:shd w:val="clear" w:color="auto" w:fill="E1E1E1"/>
          </w:tcPr>
          <w:p>
            <w:pPr>
              <w:spacing w:after="0"/>
              <w:rPr>
                <w:sz w:val="19"/>
                <w:szCs w:val="19"/>
                <w:color w:val="auto"/>
              </w:rPr>
            </w:pPr>
          </w:p>
        </w:tc>
        <w:tc>
          <w:tcPr>
            <w:tcW w:w="240" w:type="dxa"/>
            <w:vAlign w:val="bottom"/>
            <w:tcBorders>
              <w:top w:val="single" w:sz="8" w:color="E1E1E1"/>
            </w:tcBorders>
            <w:shd w:val="clear" w:color="auto" w:fill="E1E1E1"/>
          </w:tcPr>
          <w:p>
            <w:pPr>
              <w:spacing w:after="0"/>
              <w:rPr>
                <w:sz w:val="19"/>
                <w:szCs w:val="19"/>
                <w:color w:val="auto"/>
              </w:rPr>
            </w:pPr>
          </w:p>
        </w:tc>
        <w:tc>
          <w:tcPr>
            <w:tcW w:w="1040" w:type="dxa"/>
            <w:vAlign w:val="bottom"/>
            <w:tcBorders>
              <w:top w:val="single" w:sz="8" w:color="E1E1E1"/>
            </w:tcBorders>
            <w:shd w:val="clear" w:color="auto" w:fill="E1E1E1"/>
          </w:tcPr>
          <w:p>
            <w:pPr>
              <w:spacing w:after="0"/>
              <w:rPr>
                <w:sz w:val="19"/>
                <w:szCs w:val="19"/>
                <w:color w:val="auto"/>
              </w:rPr>
            </w:pPr>
          </w:p>
        </w:tc>
        <w:tc>
          <w:tcPr>
            <w:tcW w:w="120" w:type="dxa"/>
            <w:vAlign w:val="bottom"/>
            <w:tcBorders>
              <w:top w:val="single" w:sz="8" w:color="E1E1E1"/>
            </w:tcBorders>
            <w:shd w:val="clear" w:color="auto" w:fill="E1E1E1"/>
          </w:tcPr>
          <w:p>
            <w:pPr>
              <w:spacing w:after="0"/>
              <w:rPr>
                <w:sz w:val="19"/>
                <w:szCs w:val="19"/>
                <w:color w:val="auto"/>
              </w:rPr>
            </w:pPr>
          </w:p>
        </w:tc>
        <w:tc>
          <w:tcPr>
            <w:tcW w:w="160" w:type="dxa"/>
            <w:vAlign w:val="bottom"/>
            <w:tcBorders>
              <w:top w:val="single" w:sz="8" w:color="E1E1E1"/>
            </w:tcBorders>
            <w:shd w:val="clear" w:color="auto" w:fill="E1E1E1"/>
          </w:tcPr>
          <w:p>
            <w:pPr>
              <w:spacing w:after="0"/>
              <w:rPr>
                <w:sz w:val="19"/>
                <w:szCs w:val="19"/>
                <w:color w:val="auto"/>
              </w:rPr>
            </w:pPr>
          </w:p>
        </w:tc>
        <w:tc>
          <w:tcPr>
            <w:tcW w:w="200" w:type="dxa"/>
            <w:vAlign w:val="bottom"/>
            <w:tcBorders>
              <w:top w:val="single" w:sz="8" w:color="E1E1E1"/>
            </w:tcBorders>
            <w:shd w:val="clear" w:color="auto" w:fill="E1E1E1"/>
          </w:tcPr>
          <w:p>
            <w:pPr>
              <w:spacing w:after="0"/>
              <w:rPr>
                <w:sz w:val="19"/>
                <w:szCs w:val="19"/>
                <w:color w:val="auto"/>
              </w:rPr>
            </w:pPr>
          </w:p>
        </w:tc>
        <w:tc>
          <w:tcPr>
            <w:tcW w:w="1180" w:type="dxa"/>
            <w:vAlign w:val="bottom"/>
            <w:tcBorders>
              <w:top w:val="single" w:sz="8" w:color="E1E1E1"/>
            </w:tcBorders>
            <w:shd w:val="clear" w:color="auto" w:fill="E1E1E1"/>
          </w:tcPr>
          <w:p>
            <w:pPr>
              <w:spacing w:after="0"/>
              <w:rPr>
                <w:sz w:val="19"/>
                <w:szCs w:val="19"/>
                <w:color w:val="auto"/>
              </w:rPr>
            </w:pPr>
          </w:p>
        </w:tc>
        <w:tc>
          <w:tcPr>
            <w:tcW w:w="120" w:type="dxa"/>
            <w:vAlign w:val="bottom"/>
            <w:tcBorders>
              <w:top w:val="single" w:sz="8" w:color="E1E1E1"/>
            </w:tcBorders>
            <w:shd w:val="clear" w:color="auto" w:fill="E1E1E1"/>
          </w:tcPr>
          <w:p>
            <w:pPr>
              <w:spacing w:after="0"/>
              <w:rPr>
                <w:sz w:val="19"/>
                <w:szCs w:val="19"/>
                <w:color w:val="auto"/>
              </w:rPr>
            </w:pPr>
          </w:p>
        </w:tc>
        <w:tc>
          <w:tcPr>
            <w:tcW w:w="160" w:type="dxa"/>
            <w:vAlign w:val="bottom"/>
            <w:tcBorders>
              <w:top w:val="single" w:sz="8" w:color="E1E1E1"/>
            </w:tcBorders>
            <w:shd w:val="clear" w:color="auto" w:fill="E1E1E1"/>
          </w:tcPr>
          <w:p>
            <w:pPr>
              <w:spacing w:after="0"/>
              <w:rPr>
                <w:sz w:val="19"/>
                <w:szCs w:val="19"/>
                <w:color w:val="auto"/>
              </w:rPr>
            </w:pPr>
          </w:p>
        </w:tc>
        <w:tc>
          <w:tcPr>
            <w:tcW w:w="260" w:type="dxa"/>
            <w:vAlign w:val="bottom"/>
            <w:tcBorders>
              <w:top w:val="single" w:sz="8" w:color="1E1E1E"/>
            </w:tcBorders>
            <w:shd w:val="clear" w:color="auto" w:fill="E1E1E1"/>
          </w:tcPr>
          <w:p>
            <w:pPr>
              <w:spacing w:after="0"/>
              <w:rPr>
                <w:sz w:val="19"/>
                <w:szCs w:val="19"/>
                <w:color w:val="auto"/>
              </w:rPr>
            </w:pPr>
          </w:p>
        </w:tc>
        <w:tc>
          <w:tcPr>
            <w:tcW w:w="920" w:type="dxa"/>
            <w:vAlign w:val="bottom"/>
            <w:tcBorders>
              <w:top w:val="single" w:sz="8" w:color="1E1E1E"/>
            </w:tcBorders>
            <w:shd w:val="clear" w:color="auto" w:fill="E1E1E1"/>
          </w:tcPr>
          <w:p>
            <w:pPr>
              <w:spacing w:after="0"/>
              <w:rPr>
                <w:sz w:val="19"/>
                <w:szCs w:val="19"/>
                <w:color w:val="auto"/>
              </w:rPr>
            </w:pPr>
          </w:p>
        </w:tc>
        <w:tc>
          <w:tcPr>
            <w:tcW w:w="80" w:type="dxa"/>
            <w:vAlign w:val="bottom"/>
            <w:tcBorders>
              <w:top w:val="single" w:sz="8" w:color="E1E1E1"/>
            </w:tcBorders>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1E1E1E"/>
              </w:rPr>
              <w:t>Depreciation</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w:t>
            </w:r>
          </w:p>
        </w:tc>
        <w:tc>
          <w:tcPr>
            <w:tcW w:w="12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23.4</w:t>
            </w:r>
          </w:p>
        </w:tc>
        <w:tc>
          <w:tcPr>
            <w:tcW w:w="1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Additions to property, plant and equipment</w:t>
            </w:r>
          </w:p>
        </w:tc>
        <w:tc>
          <w:tcPr>
            <w:tcW w:w="1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120" w:type="dxa"/>
            <w:vAlign w:val="bottom"/>
            <w:shd w:val="clear" w:color="auto" w:fill="E1E1E1"/>
          </w:tcPr>
          <w:p>
            <w:pPr>
              <w:spacing w:after="0"/>
              <w:rPr>
                <w:sz w:val="21"/>
                <w:szCs w:val="21"/>
                <w:color w:val="auto"/>
              </w:rPr>
            </w:pPr>
          </w:p>
        </w:tc>
        <w:tc>
          <w:tcPr>
            <w:tcW w:w="400" w:type="dxa"/>
            <w:vAlign w:val="bottom"/>
            <w:gridSpan w:val="2"/>
            <w:shd w:val="clear" w:color="auto" w:fill="E1E1E1"/>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13.1</w:t>
            </w:r>
          </w:p>
        </w:tc>
        <w:tc>
          <w:tcPr>
            <w:tcW w:w="120" w:type="dxa"/>
            <w:vAlign w:val="bottom"/>
            <w:shd w:val="clear" w:color="auto" w:fill="E1E1E1"/>
          </w:tcPr>
          <w:p>
            <w:pPr>
              <w:spacing w:after="0"/>
              <w:rPr>
                <w:sz w:val="21"/>
                <w:szCs w:val="21"/>
                <w:color w:val="auto"/>
              </w:rPr>
            </w:pPr>
          </w:p>
        </w:tc>
        <w:tc>
          <w:tcPr>
            <w:tcW w:w="36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16.3</w:t>
            </w:r>
          </w:p>
        </w:tc>
        <w:tc>
          <w:tcPr>
            <w:tcW w:w="12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260" w:type="dxa"/>
            <w:vAlign w:val="bottom"/>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32.4</w:t>
            </w:r>
          </w:p>
        </w:tc>
        <w:tc>
          <w:tcPr>
            <w:tcW w:w="8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-2836545</wp:posOffset>
            </wp:positionV>
            <wp:extent cx="1958975" cy="164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9">
                      <a:extLst>
                        <a:ext uri="{28A0092B-C50C-407E-A947-70E740481C1C}"/>
                      </a:extLst>
                    </a:blip>
                    <a:srcRect/>
                    <a:stretch>
                      <a:fillRect/>
                    </a:stretch>
                  </pic:blipFill>
                  <pic:spPr bwMode="auto">
                    <a:xfrm>
                      <a:off x="0" y="0"/>
                      <a:ext cx="1958975" cy="164465"/>
                    </a:xfrm>
                    <a:prstGeom prst="rect">
                      <a:avLst/>
                    </a:prstGeom>
                    <a:noFill/>
                  </pic:spPr>
                </pic:pic>
              </a:graphicData>
            </a:graphic>
          </wp:anchor>
        </w:drawing>
      </w:r>
    </w:p>
    <w:p>
      <w:pPr>
        <w:spacing w:after="0" w:line="80" w:lineRule="exact"/>
        <w:rPr>
          <w:sz w:val="20"/>
          <w:szCs w:val="20"/>
          <w:color w:val="auto"/>
        </w:rPr>
      </w:pPr>
    </w:p>
    <w:p>
      <w:pPr>
        <w:ind w:left="480" w:hanging="480"/>
        <w:spacing w:after="0"/>
        <w:tabs>
          <w:tab w:leader="none" w:pos="480" w:val="left"/>
        </w:tabs>
        <w:numPr>
          <w:ilvl w:val="0"/>
          <w:numId w:val="7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Includes activity of the OneCell business for periods prior to its disposition.</w:t>
      </w:r>
    </w:p>
    <w:p>
      <w:pPr>
        <w:spacing w:after="0" w:line="60" w:lineRule="exact"/>
        <w:rPr>
          <w:rFonts w:ascii="Times New Roman" w:cs="Times New Roman" w:eastAsia="Times New Roman" w:hAnsi="Times New Roman"/>
          <w:sz w:val="19"/>
          <w:szCs w:val="19"/>
          <w:color w:val="1E1E1E"/>
        </w:rPr>
      </w:pPr>
    </w:p>
    <w:p>
      <w:pPr>
        <w:ind w:left="480" w:right="20" w:hanging="480"/>
        <w:spacing w:after="0" w:line="245" w:lineRule="auto"/>
        <w:tabs>
          <w:tab w:leader="none" w:pos="480" w:val="left"/>
        </w:tabs>
        <w:numPr>
          <w:ilvl w:val="0"/>
          <w:numId w:val="7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corporate and other category above primarily reflects general corporate costs that were previously allocated to the CCS segment, OWN segment, DAS business unit and Home segment. These indirect expenses have been classified as continuing operations, since the costs were not directly attributable to these discontinued operations. Beginning in the first quarter of 2024, the corporate and other costs related to the Home segment have been reallocated to the Company’s remaining segments and partially offset by income from the Vantiva TSA.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will be reallocated to the Company’s remaining segments beginning in the first quarter of 2026.</w:t>
      </w:r>
    </w:p>
    <w:p>
      <w:pPr>
        <w:spacing w:after="0" w:line="23" w:lineRule="exact"/>
        <w:rPr>
          <w:rFonts w:ascii="Times New Roman" w:cs="Times New Roman" w:eastAsia="Times New Roman" w:hAnsi="Times New Roman"/>
          <w:sz w:val="19"/>
          <w:szCs w:val="19"/>
          <w:color w:val="1E1E1E"/>
        </w:rPr>
      </w:pPr>
    </w:p>
    <w:p>
      <w:pPr>
        <w:ind w:left="480" w:hanging="480"/>
        <w:spacing w:after="0"/>
        <w:tabs>
          <w:tab w:leader="none" w:pos="480" w:val="left"/>
        </w:tabs>
        <w:numPr>
          <w:ilvl w:val="0"/>
          <w:numId w:val="7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ARRIS acquisition accounting adjustments related to reducing deferred revenue to its estimated fair value.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Customer and Supplier Information</w:t>
      </w:r>
    </w:p>
    <w:p>
      <w:pPr>
        <w:spacing w:after="0" w:line="12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1E1E1E"/>
        </w:rPr>
        <w:t>Net sales to Comcast Corporation and affiliates (Comcast) accounted for approximately 35%, 21% and 20% for the years ended December 31, 2025, 2024 and 2023, respectively. Net sales to Charter Communications, Inc. (Charter) accounted for approximately 13% and 14% for the years ended December 31, 2024 and 2023, respectively. Other than Comcast and Charter, no direct customer accounted for 10% or more of the Company’s total net sales during the years ended December 31, 2025, 2024 or 2023. Accounts receivable from Comcast and TD Synnex Corporation (TD Synnex) represented approximately 42% and 11%, respectively, of accounts receivable as of December 31, 2025, and 25% and 16%, respectively, as of December 31, 2024. Other than Comcast and TD Synnex, no direct customer accounted for 10% or more of the Company’s accounts receivable as of December 31, 2025 or 2024. Comcast and Charter are customers of the Aurora and RUCKUS segments, and TD Synnex is a customer of the RUCKUS segment.</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98</w:t>
      </w:r>
    </w:p>
    <w:p>
      <w:pPr>
        <w:sectPr>
          <w:pgSz w:w="11880" w:h="15480" w:orient="portrait"/>
          <w:cols w:equalWidth="0" w:num="1">
            <w:col w:w="10800"/>
          </w:cols>
          <w:pgMar w:left="540" w:top="515" w:right="540" w:bottom="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0"/>
          <w:szCs w:val="20"/>
          <w:color w:val="1E1E1E"/>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Related Party Transactions</w:t>
      </w:r>
    </w:p>
    <w:p>
      <w:pPr>
        <w:spacing w:after="0" w:line="123"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1E1E1E"/>
        </w:rPr>
        <w:t>For a discussion of the Convertible Preferred Stock issued to Carlyle to finance the ARRIS acquisition, see Note 14 in these consolidated financial statements. Other than transactions related to the Convertible Preferred Stock and the Company’s continuing involvement with Vantiva discussed in Note 4, there were no material related party transactions for the years ended December 31, 2025, 2024 or 2023.</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Geographic Information</w:t>
      </w:r>
    </w:p>
    <w:p>
      <w:pPr>
        <w:spacing w:after="0" w:line="12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1E1E1E"/>
        </w:rPr>
        <w:t>Sales to customers located outside of the U.S. comprised 28.5%, 33.3% and 31.0% of total net sales during the years ended December 31, 2025, 2024 and 2023, respectively. Sales by geographic region, based on the destination of product shipments or service provided,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Borders>
              <w:bottom w:val="single" w:sz="8" w:color="1E1E1E"/>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2800" w:type="dxa"/>
            <w:vAlign w:val="bottom"/>
            <w:tcBorders>
              <w:bottom w:val="single" w:sz="8" w:color="1E1E1E"/>
            </w:tcBorders>
            <w:gridSpan w:val="9"/>
          </w:tcPr>
          <w:p>
            <w:pPr>
              <w:ind w:left="540"/>
              <w:spacing w:after="0"/>
              <w:rPr>
                <w:sz w:val="20"/>
                <w:szCs w:val="20"/>
                <w:color w:val="auto"/>
              </w:rPr>
            </w:pPr>
            <w:r>
              <w:rPr>
                <w:rFonts w:ascii="Times New Roman" w:cs="Times New Roman" w:eastAsia="Times New Roman" w:hAnsi="Times New Roman"/>
                <w:sz w:val="16"/>
                <w:szCs w:val="16"/>
                <w:b w:val="1"/>
                <w:bCs w:val="1"/>
                <w:color w:val="1E1E1E"/>
              </w:rPr>
              <w:t>Year Ended December 31, 2025</w:t>
            </w:r>
          </w:p>
        </w:tc>
        <w:tc>
          <w:tcPr>
            <w:tcW w:w="120" w:type="dxa"/>
            <w:vAlign w:val="bottom"/>
            <w:tcBorders>
              <w:bottom w:val="single" w:sz="8" w:color="1E1E1E"/>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3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1E1E1E"/>
              </w:rPr>
              <w:t xml:space="preserve">RUCKUS </w:t>
            </w:r>
            <w:r>
              <w:rPr>
                <w:rFonts w:ascii="Times New Roman" w:cs="Times New Roman" w:eastAsia="Times New Roman" w:hAnsi="Times New Roman"/>
                <w:sz w:val="10"/>
                <w:szCs w:val="10"/>
                <w:b w:val="1"/>
                <w:bCs w:val="1"/>
                <w:color w:val="1E1E1E"/>
              </w:rPr>
              <w:t>(1)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1E1E1E"/>
              </w:rPr>
              <w:t>Aurora</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60" w:type="dxa"/>
            <w:vAlign w:val="bottom"/>
          </w:tcPr>
          <w:p>
            <w:pPr>
              <w:spacing w:after="0"/>
              <w:rPr>
                <w:sz w:val="17"/>
                <w:szCs w:val="17"/>
                <w:color w:val="auto"/>
              </w:rPr>
            </w:pPr>
          </w:p>
        </w:tc>
      </w:tr>
      <w:tr>
        <w:trPr>
          <w:trHeight w:val="239"/>
        </w:trPr>
        <w:tc>
          <w:tcPr>
            <w:tcW w:w="356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Geographic Region:</w:t>
            </w:r>
          </w:p>
        </w:tc>
        <w:tc>
          <w:tcPr>
            <w:tcW w:w="100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E1E1E1"/>
            </w:tcBorders>
            <w:shd w:val="clear" w:color="auto" w:fill="E1E1E1"/>
          </w:tcPr>
          <w:p>
            <w:pPr>
              <w:spacing w:after="0"/>
              <w:rPr>
                <w:sz w:val="20"/>
                <w:szCs w:val="20"/>
                <w:color w:val="auto"/>
              </w:rPr>
            </w:pPr>
          </w:p>
        </w:tc>
        <w:tc>
          <w:tcPr>
            <w:tcW w:w="660" w:type="dxa"/>
            <w:vAlign w:val="bottom"/>
            <w:tcBorders>
              <w:top w:val="single" w:sz="8" w:color="E1E1E1"/>
            </w:tcBorders>
            <w:shd w:val="clear" w:color="auto" w:fill="E1E1E1"/>
          </w:tcPr>
          <w:p>
            <w:pPr>
              <w:spacing w:after="0"/>
              <w:rPr>
                <w:sz w:val="20"/>
                <w:szCs w:val="20"/>
                <w:color w:val="auto"/>
              </w:rPr>
            </w:pPr>
          </w:p>
        </w:tc>
        <w:tc>
          <w:tcPr>
            <w:tcW w:w="540" w:type="dxa"/>
            <w:vAlign w:val="bottom"/>
            <w:tcBorders>
              <w:top w:val="single" w:sz="8" w:color="1E1E1E"/>
            </w:tcBorders>
            <w:shd w:val="clear" w:color="auto" w:fill="E1E1E1"/>
          </w:tcPr>
          <w:p>
            <w:pPr>
              <w:spacing w:after="0"/>
              <w:rPr>
                <w:sz w:val="20"/>
                <w:szCs w:val="20"/>
                <w:color w:val="auto"/>
              </w:rPr>
            </w:pPr>
          </w:p>
        </w:tc>
        <w:tc>
          <w:tcPr>
            <w:tcW w:w="300" w:type="dxa"/>
            <w:vAlign w:val="bottom"/>
            <w:tcBorders>
              <w:top w:val="single" w:sz="8" w:color="1E1E1E"/>
            </w:tcBorders>
            <w:shd w:val="clear" w:color="auto" w:fill="E1E1E1"/>
          </w:tcPr>
          <w:p>
            <w:pPr>
              <w:spacing w:after="0"/>
              <w:rPr>
                <w:sz w:val="20"/>
                <w:szCs w:val="20"/>
                <w:color w:val="auto"/>
              </w:rPr>
            </w:pPr>
          </w:p>
        </w:tc>
        <w:tc>
          <w:tcPr>
            <w:tcW w:w="200" w:type="dxa"/>
            <w:vAlign w:val="bottom"/>
            <w:tcBorders>
              <w:top w:val="single" w:sz="8" w:color="1E1E1E"/>
            </w:tcBorders>
            <w:shd w:val="clear" w:color="auto" w:fill="E1E1E1"/>
          </w:tcPr>
          <w:p>
            <w:pPr>
              <w:spacing w:after="0"/>
              <w:rPr>
                <w:sz w:val="20"/>
                <w:szCs w:val="20"/>
                <w:color w:val="auto"/>
              </w:rPr>
            </w:pPr>
          </w:p>
        </w:tc>
        <w:tc>
          <w:tcPr>
            <w:tcW w:w="620" w:type="dxa"/>
            <w:vAlign w:val="bottom"/>
            <w:tcBorders>
              <w:top w:val="single" w:sz="8" w:color="1E1E1E"/>
            </w:tcBorders>
            <w:shd w:val="clear" w:color="auto" w:fill="E1E1E1"/>
          </w:tcPr>
          <w:p>
            <w:pPr>
              <w:spacing w:after="0"/>
              <w:rPr>
                <w:sz w:val="20"/>
                <w:szCs w:val="20"/>
                <w:color w:val="auto"/>
              </w:rPr>
            </w:pPr>
          </w:p>
        </w:tc>
        <w:tc>
          <w:tcPr>
            <w:tcW w:w="60" w:type="dxa"/>
            <w:vAlign w:val="bottom"/>
            <w:tcBorders>
              <w:top w:val="single" w:sz="8" w:color="E1E1E1"/>
            </w:tcBorders>
            <w:shd w:val="clear" w:color="auto" w:fill="E1E1E1"/>
          </w:tcPr>
          <w:p>
            <w:pPr>
              <w:spacing w:after="0"/>
              <w:rPr>
                <w:sz w:val="20"/>
                <w:szCs w:val="20"/>
                <w:color w:val="auto"/>
              </w:rPr>
            </w:pPr>
          </w:p>
        </w:tc>
        <w:tc>
          <w:tcPr>
            <w:tcW w:w="280" w:type="dxa"/>
            <w:vAlign w:val="bottom"/>
            <w:tcBorders>
              <w:top w:val="single" w:sz="8" w:color="E1E1E1"/>
            </w:tcBorders>
            <w:shd w:val="clear" w:color="auto" w:fill="E1E1E1"/>
          </w:tcPr>
          <w:p>
            <w:pPr>
              <w:spacing w:after="0"/>
              <w:rPr>
                <w:sz w:val="20"/>
                <w:szCs w:val="20"/>
                <w:color w:val="auto"/>
              </w:rPr>
            </w:pPr>
          </w:p>
        </w:tc>
        <w:tc>
          <w:tcPr>
            <w:tcW w:w="100" w:type="dxa"/>
            <w:vAlign w:val="bottom"/>
            <w:tcBorders>
              <w:top w:val="single" w:sz="8" w:color="1E1E1E"/>
            </w:tcBorders>
            <w:shd w:val="clear" w:color="auto" w:fill="E1E1E1"/>
          </w:tcPr>
          <w:p>
            <w:pPr>
              <w:spacing w:after="0"/>
              <w:rPr>
                <w:sz w:val="20"/>
                <w:szCs w:val="20"/>
                <w:color w:val="auto"/>
              </w:rPr>
            </w:pPr>
          </w:p>
        </w:tc>
        <w:tc>
          <w:tcPr>
            <w:tcW w:w="300" w:type="dxa"/>
            <w:vAlign w:val="bottom"/>
            <w:tcBorders>
              <w:top w:val="single" w:sz="8" w:color="1E1E1E"/>
            </w:tcBorders>
            <w:shd w:val="clear" w:color="auto" w:fill="E1E1E1"/>
          </w:tcPr>
          <w:p>
            <w:pPr>
              <w:spacing w:after="0"/>
              <w:rPr>
                <w:sz w:val="20"/>
                <w:szCs w:val="20"/>
                <w:color w:val="auto"/>
              </w:rPr>
            </w:pPr>
          </w:p>
        </w:tc>
        <w:tc>
          <w:tcPr>
            <w:tcW w:w="160" w:type="dxa"/>
            <w:vAlign w:val="bottom"/>
            <w:tcBorders>
              <w:top w:val="single" w:sz="8" w:color="1E1E1E"/>
            </w:tcBorders>
            <w:shd w:val="clear" w:color="auto" w:fill="E1E1E1"/>
          </w:tcPr>
          <w:p>
            <w:pPr>
              <w:spacing w:after="0"/>
              <w:rPr>
                <w:sz w:val="20"/>
                <w:szCs w:val="20"/>
                <w:color w:val="auto"/>
              </w:rPr>
            </w:pPr>
          </w:p>
        </w:tc>
        <w:tc>
          <w:tcPr>
            <w:tcW w:w="940" w:type="dxa"/>
            <w:vAlign w:val="bottom"/>
            <w:tcBorders>
              <w:top w:val="single" w:sz="8" w:color="1E1E1E"/>
            </w:tcBorders>
            <w:shd w:val="clear" w:color="auto" w:fill="E1E1E1"/>
          </w:tcPr>
          <w:p>
            <w:pPr>
              <w:spacing w:after="0"/>
              <w:rPr>
                <w:sz w:val="20"/>
                <w:szCs w:val="20"/>
                <w:color w:val="auto"/>
              </w:rPr>
            </w:pPr>
          </w:p>
        </w:tc>
        <w:tc>
          <w:tcPr>
            <w:tcW w:w="14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1E1E1E"/>
            </w:tcBorders>
            <w:shd w:val="clear" w:color="auto" w:fill="E1E1E1"/>
          </w:tcPr>
          <w:p>
            <w:pPr>
              <w:spacing w:after="0"/>
              <w:rPr>
                <w:sz w:val="20"/>
                <w:szCs w:val="20"/>
                <w:color w:val="auto"/>
              </w:rPr>
            </w:pPr>
          </w:p>
        </w:tc>
        <w:tc>
          <w:tcPr>
            <w:tcW w:w="260" w:type="dxa"/>
            <w:vAlign w:val="bottom"/>
            <w:tcBorders>
              <w:top w:val="single" w:sz="8" w:color="1E1E1E"/>
            </w:tcBorders>
            <w:shd w:val="clear" w:color="auto" w:fill="E1E1E1"/>
          </w:tcPr>
          <w:p>
            <w:pPr>
              <w:spacing w:after="0"/>
              <w:rPr>
                <w:sz w:val="20"/>
                <w:szCs w:val="20"/>
                <w:color w:val="auto"/>
              </w:rPr>
            </w:pPr>
          </w:p>
        </w:tc>
        <w:tc>
          <w:tcPr>
            <w:tcW w:w="1120" w:type="dxa"/>
            <w:vAlign w:val="bottom"/>
            <w:tcBorders>
              <w:top w:val="single" w:sz="8" w:color="1E1E1E"/>
            </w:tcBorders>
            <w:shd w:val="clear" w:color="auto" w:fill="E1E1E1"/>
          </w:tcPr>
          <w:p>
            <w:pPr>
              <w:spacing w:after="0"/>
              <w:rPr>
                <w:sz w:val="20"/>
                <w:szCs w:val="20"/>
                <w:color w:val="auto"/>
              </w:rPr>
            </w:pPr>
          </w:p>
        </w:tc>
        <w:tc>
          <w:tcPr>
            <w:tcW w:w="60" w:type="dxa"/>
            <w:vAlign w:val="bottom"/>
            <w:tcBorders>
              <w:top w:val="single" w:sz="8" w:color="E1E1E1"/>
            </w:tcBorders>
            <w:shd w:val="clear" w:color="auto" w:fill="E1E1E1"/>
          </w:tcPr>
          <w:p>
            <w:pPr>
              <w:spacing w:after="0"/>
              <w:rPr>
                <w:sz w:val="20"/>
                <w:szCs w:val="20"/>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1E1E1E"/>
              </w:rPr>
              <w:t>United States</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347"/>
              <w:spacing w:after="0"/>
              <w:rPr>
                <w:sz w:val="20"/>
                <w:szCs w:val="20"/>
                <w:color w:val="auto"/>
              </w:rPr>
            </w:pPr>
            <w:r>
              <w:rPr>
                <w:rFonts w:ascii="Times New Roman" w:cs="Times New Roman" w:eastAsia="Times New Roman" w:hAnsi="Times New Roman"/>
                <w:sz w:val="20"/>
                <w:szCs w:val="20"/>
                <w:color w:val="1E1E1E"/>
                <w:w w:val="79"/>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418.5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E1E1E"/>
                <w:w w:val="79"/>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962.2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1,380.7</w:t>
            </w:r>
          </w:p>
        </w:tc>
        <w:tc>
          <w:tcPr>
            <w:tcW w:w="60" w:type="dxa"/>
            <w:vAlign w:val="bottom"/>
          </w:tcPr>
          <w:p>
            <w:pPr>
              <w:spacing w:after="0"/>
              <w:rPr>
                <w:sz w:val="21"/>
                <w:szCs w:val="21"/>
                <w:color w:val="auto"/>
              </w:rPr>
            </w:pPr>
          </w:p>
        </w:tc>
      </w:tr>
      <w:tr>
        <w:trPr>
          <w:trHeight w:val="244"/>
        </w:trPr>
        <w:tc>
          <w:tcPr>
            <w:tcW w:w="35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Europe, Middle East and Africa</w:t>
            </w:r>
          </w:p>
        </w:tc>
        <w:tc>
          <w:tcPr>
            <w:tcW w:w="10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66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6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144.6</w:t>
            </w:r>
          </w:p>
        </w:tc>
        <w:tc>
          <w:tcPr>
            <w:tcW w:w="6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9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81.0</w:t>
            </w:r>
          </w:p>
        </w:tc>
        <w:tc>
          <w:tcPr>
            <w:tcW w:w="14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225.6</w:t>
            </w:r>
          </w:p>
        </w:tc>
        <w:tc>
          <w:tcPr>
            <w:tcW w:w="60" w:type="dxa"/>
            <w:vAlign w:val="bottom"/>
            <w:shd w:val="clear" w:color="auto" w:fill="E1E1E1"/>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1E1E1E"/>
              </w:rPr>
              <w:t>Asia Pacific</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151.9</w:t>
            </w:r>
          </w:p>
        </w:tc>
        <w:tc>
          <w:tcPr>
            <w:tcW w:w="60" w:type="dxa"/>
            <w:vAlign w:val="bottom"/>
          </w:tcPr>
          <w:p>
            <w:pPr>
              <w:spacing w:after="0"/>
              <w:rPr>
                <w:sz w:val="21"/>
                <w:szCs w:val="21"/>
                <w:color w:val="auto"/>
              </w:rPr>
            </w:pPr>
          </w:p>
        </w:tc>
      </w:tr>
      <w:tr>
        <w:trPr>
          <w:trHeight w:val="244"/>
        </w:trPr>
        <w:tc>
          <w:tcPr>
            <w:tcW w:w="35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Caribbean and Latin America</w:t>
            </w:r>
          </w:p>
        </w:tc>
        <w:tc>
          <w:tcPr>
            <w:tcW w:w="10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66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6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23.6</w:t>
            </w:r>
          </w:p>
        </w:tc>
        <w:tc>
          <w:tcPr>
            <w:tcW w:w="60" w:type="dxa"/>
            <w:vAlign w:val="bottom"/>
            <w:shd w:val="clear" w:color="auto" w:fill="E1E1E1"/>
          </w:tcPr>
          <w:p>
            <w:pPr>
              <w:spacing w:after="0"/>
              <w:rPr>
                <w:sz w:val="21"/>
                <w:szCs w:val="21"/>
                <w:color w:val="auto"/>
              </w:rPr>
            </w:pPr>
          </w:p>
        </w:tc>
        <w:tc>
          <w:tcPr>
            <w:tcW w:w="2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30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9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65.0</w:t>
            </w:r>
          </w:p>
        </w:tc>
        <w:tc>
          <w:tcPr>
            <w:tcW w:w="14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88.6</w:t>
            </w:r>
          </w:p>
        </w:tc>
        <w:tc>
          <w:tcPr>
            <w:tcW w:w="60" w:type="dxa"/>
            <w:vAlign w:val="bottom"/>
            <w:shd w:val="clear" w:color="auto" w:fill="E1E1E1"/>
          </w:tcPr>
          <w:p>
            <w:pPr>
              <w:spacing w:after="0"/>
              <w:rPr>
                <w:sz w:val="21"/>
                <w:szCs w:val="21"/>
                <w:color w:val="auto"/>
              </w:rPr>
            </w:pPr>
          </w:p>
        </w:tc>
      </w:tr>
      <w:tr>
        <w:trPr>
          <w:trHeight w:val="244"/>
        </w:trPr>
        <w:tc>
          <w:tcPr>
            <w:tcW w:w="3560" w:type="dxa"/>
            <w:vAlign w:val="bottom"/>
            <w:tcBorders>
              <w:bottom w:val="single" w:sz="8" w:color="E1E1E1"/>
            </w:tcBorders>
          </w:tcPr>
          <w:p>
            <w:pPr>
              <w:spacing w:after="0"/>
              <w:rPr>
                <w:sz w:val="20"/>
                <w:szCs w:val="20"/>
                <w:color w:val="auto"/>
              </w:rPr>
            </w:pPr>
            <w:r>
              <w:rPr>
                <w:rFonts w:ascii="Times New Roman" w:cs="Times New Roman" w:eastAsia="Times New Roman" w:hAnsi="Times New Roman"/>
                <w:sz w:val="20"/>
                <w:szCs w:val="20"/>
                <w:color w:val="1E1E1E"/>
              </w:rPr>
              <w:t>Canada</w:t>
            </w:r>
          </w:p>
        </w:tc>
        <w:tc>
          <w:tcPr>
            <w:tcW w:w="1000" w:type="dxa"/>
            <w:vAlign w:val="bottom"/>
            <w:tcBorders>
              <w:bottom w:val="single" w:sz="8" w:color="E1E1E1"/>
            </w:tcBorders>
          </w:tcPr>
          <w:p>
            <w:pPr>
              <w:spacing w:after="0"/>
              <w:rPr>
                <w:sz w:val="21"/>
                <w:szCs w:val="21"/>
                <w:color w:val="auto"/>
              </w:rPr>
            </w:pPr>
          </w:p>
        </w:tc>
        <w:tc>
          <w:tcPr>
            <w:tcW w:w="180" w:type="dxa"/>
            <w:vAlign w:val="bottom"/>
            <w:tcBorders>
              <w:bottom w:val="single" w:sz="8" w:color="E1E1E1"/>
            </w:tcBorders>
          </w:tcPr>
          <w:p>
            <w:pPr>
              <w:spacing w:after="0"/>
              <w:rPr>
                <w:sz w:val="21"/>
                <w:szCs w:val="21"/>
                <w:color w:val="auto"/>
              </w:rPr>
            </w:pPr>
          </w:p>
        </w:tc>
        <w:tc>
          <w:tcPr>
            <w:tcW w:w="660" w:type="dxa"/>
            <w:vAlign w:val="bottom"/>
            <w:tcBorders>
              <w:bottom w:val="single" w:sz="8" w:color="E1E1E1"/>
            </w:tcBorders>
          </w:tcPr>
          <w:p>
            <w:pPr>
              <w:spacing w:after="0"/>
              <w:rPr>
                <w:sz w:val="21"/>
                <w:szCs w:val="21"/>
                <w:color w:val="auto"/>
              </w:rPr>
            </w:pPr>
          </w:p>
        </w:tc>
        <w:tc>
          <w:tcPr>
            <w:tcW w:w="540" w:type="dxa"/>
            <w:vAlign w:val="bottom"/>
            <w:tcBorders>
              <w:bottom w:val="single" w:sz="8" w:color="1E1E1E"/>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13.2</w:t>
            </w:r>
          </w:p>
        </w:tc>
        <w:tc>
          <w:tcPr>
            <w:tcW w:w="60" w:type="dxa"/>
            <w:vAlign w:val="bottom"/>
            <w:tcBorders>
              <w:bottom w:val="single" w:sz="8" w:color="E1E1E1"/>
            </w:tcBorders>
          </w:tcPr>
          <w:p>
            <w:pPr>
              <w:spacing w:after="0"/>
              <w:rPr>
                <w:sz w:val="21"/>
                <w:szCs w:val="21"/>
                <w:color w:val="auto"/>
              </w:rPr>
            </w:pPr>
          </w:p>
        </w:tc>
        <w:tc>
          <w:tcPr>
            <w:tcW w:w="280" w:type="dxa"/>
            <w:vAlign w:val="bottom"/>
            <w:tcBorders>
              <w:bottom w:val="single" w:sz="8" w:color="E1E1E1"/>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71.6</w:t>
            </w:r>
          </w:p>
        </w:tc>
        <w:tc>
          <w:tcPr>
            <w:tcW w:w="140" w:type="dxa"/>
            <w:vAlign w:val="bottom"/>
            <w:tcBorders>
              <w:bottom w:val="single" w:sz="8" w:color="E1E1E1"/>
            </w:tcBorders>
          </w:tcPr>
          <w:p>
            <w:pPr>
              <w:spacing w:after="0"/>
              <w:rPr>
                <w:sz w:val="21"/>
                <w:szCs w:val="21"/>
                <w:color w:val="auto"/>
              </w:rPr>
            </w:pPr>
          </w:p>
        </w:tc>
        <w:tc>
          <w:tcPr>
            <w:tcW w:w="200" w:type="dxa"/>
            <w:vAlign w:val="bottom"/>
            <w:tcBorders>
              <w:bottom w:val="single" w:sz="8" w:color="E1E1E1"/>
            </w:tcBorders>
          </w:tcPr>
          <w:p>
            <w:pPr>
              <w:spacing w:after="0"/>
              <w:rPr>
                <w:sz w:val="21"/>
                <w:szCs w:val="21"/>
                <w:color w:val="auto"/>
              </w:rPr>
            </w:pPr>
          </w:p>
        </w:tc>
        <w:tc>
          <w:tcPr>
            <w:tcW w:w="120" w:type="dxa"/>
            <w:vAlign w:val="bottom"/>
            <w:tcBorders>
              <w:bottom w:val="single" w:sz="8" w:color="1E1E1E"/>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84.8</w:t>
            </w:r>
          </w:p>
        </w:tc>
        <w:tc>
          <w:tcPr>
            <w:tcW w:w="60" w:type="dxa"/>
            <w:vAlign w:val="bottom"/>
            <w:tcBorders>
              <w:bottom w:val="single" w:sz="8" w:color="E1E1E1"/>
            </w:tcBorders>
          </w:tcPr>
          <w:p>
            <w:pPr>
              <w:spacing w:after="0"/>
              <w:rPr>
                <w:sz w:val="21"/>
                <w:szCs w:val="21"/>
                <w:color w:val="auto"/>
              </w:rPr>
            </w:pPr>
          </w:p>
        </w:tc>
      </w:tr>
      <w:tr>
        <w:trPr>
          <w:trHeight w:val="239"/>
        </w:trPr>
        <w:tc>
          <w:tcPr>
            <w:tcW w:w="35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Consolidated net sales</w:t>
            </w:r>
          </w:p>
        </w:tc>
        <w:tc>
          <w:tcPr>
            <w:tcW w:w="1000" w:type="dxa"/>
            <w:vAlign w:val="bottom"/>
            <w:shd w:val="clear" w:color="auto" w:fill="E1E1E1"/>
          </w:tcPr>
          <w:p>
            <w:pPr>
              <w:spacing w:after="0"/>
              <w:rPr>
                <w:sz w:val="20"/>
                <w:szCs w:val="20"/>
                <w:color w:val="auto"/>
              </w:rPr>
            </w:pPr>
          </w:p>
        </w:tc>
        <w:tc>
          <w:tcPr>
            <w:tcW w:w="180" w:type="dxa"/>
            <w:vAlign w:val="bottom"/>
            <w:shd w:val="clear" w:color="auto" w:fill="E1E1E1"/>
          </w:tcPr>
          <w:p>
            <w:pPr>
              <w:spacing w:after="0"/>
              <w:rPr>
                <w:sz w:val="20"/>
                <w:szCs w:val="20"/>
                <w:color w:val="auto"/>
              </w:rPr>
            </w:pPr>
          </w:p>
        </w:tc>
        <w:tc>
          <w:tcPr>
            <w:tcW w:w="660" w:type="dxa"/>
            <w:vAlign w:val="bottom"/>
            <w:shd w:val="clear" w:color="auto" w:fill="E1E1E1"/>
          </w:tcPr>
          <w:p>
            <w:pPr>
              <w:spacing w:after="0"/>
              <w:rPr>
                <w:sz w:val="20"/>
                <w:szCs w:val="20"/>
                <w:color w:val="auto"/>
              </w:rPr>
            </w:pPr>
          </w:p>
        </w:tc>
        <w:tc>
          <w:tcPr>
            <w:tcW w:w="540" w:type="dxa"/>
            <w:vAlign w:val="bottom"/>
            <w:tcBorders>
              <w:bottom w:val="single" w:sz="8" w:color="1E1E1E"/>
            </w:tcBorders>
            <w:shd w:val="clear" w:color="auto" w:fill="E1E1E1"/>
          </w:tcPr>
          <w:p>
            <w:pPr>
              <w:jc w:val="right"/>
              <w:ind w:right="347"/>
              <w:spacing w:after="0"/>
              <w:rPr>
                <w:sz w:val="20"/>
                <w:szCs w:val="20"/>
                <w:color w:val="auto"/>
              </w:rPr>
            </w:pPr>
            <w:r>
              <w:rPr>
                <w:rFonts w:ascii="Times New Roman" w:cs="Times New Roman" w:eastAsia="Times New Roman" w:hAnsi="Times New Roman"/>
                <w:sz w:val="20"/>
                <w:szCs w:val="20"/>
                <w:color w:val="1E1E1E"/>
                <w:w w:val="79"/>
              </w:rPr>
              <w:t>$</w:t>
            </w:r>
          </w:p>
        </w:tc>
        <w:tc>
          <w:tcPr>
            <w:tcW w:w="300" w:type="dxa"/>
            <w:vAlign w:val="bottom"/>
            <w:tcBorders>
              <w:bottom w:val="single" w:sz="8" w:color="1E1E1E"/>
            </w:tcBorders>
            <w:shd w:val="clear" w:color="auto" w:fill="E1E1E1"/>
          </w:tcPr>
          <w:p>
            <w:pPr>
              <w:spacing w:after="0"/>
              <w:rPr>
                <w:sz w:val="20"/>
                <w:szCs w:val="20"/>
                <w:color w:val="auto"/>
              </w:rPr>
            </w:pPr>
          </w:p>
        </w:tc>
        <w:tc>
          <w:tcPr>
            <w:tcW w:w="200" w:type="dxa"/>
            <w:vAlign w:val="bottom"/>
            <w:tcBorders>
              <w:bottom w:val="single" w:sz="8" w:color="1E1E1E"/>
            </w:tcBorders>
            <w:shd w:val="clear" w:color="auto" w:fill="E1E1E1"/>
          </w:tcPr>
          <w:p>
            <w:pPr>
              <w:spacing w:after="0"/>
              <w:rPr>
                <w:sz w:val="20"/>
                <w:szCs w:val="20"/>
                <w:color w:val="auto"/>
              </w:rPr>
            </w:pPr>
          </w:p>
        </w:tc>
        <w:tc>
          <w:tcPr>
            <w:tcW w:w="6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698.9</w:t>
            </w:r>
          </w:p>
        </w:tc>
        <w:tc>
          <w:tcPr>
            <w:tcW w:w="60" w:type="dxa"/>
            <w:vAlign w:val="bottom"/>
            <w:shd w:val="clear" w:color="auto" w:fill="E1E1E1"/>
          </w:tcPr>
          <w:p>
            <w:pPr>
              <w:spacing w:after="0"/>
              <w:rPr>
                <w:sz w:val="20"/>
                <w:szCs w:val="20"/>
                <w:color w:val="auto"/>
              </w:rPr>
            </w:pPr>
          </w:p>
        </w:tc>
        <w:tc>
          <w:tcPr>
            <w:tcW w:w="280" w:type="dxa"/>
            <w:vAlign w:val="bottom"/>
            <w:shd w:val="clear" w:color="auto" w:fill="E1E1E1"/>
          </w:tcPr>
          <w:p>
            <w:pPr>
              <w:spacing w:after="0"/>
              <w:rPr>
                <w:sz w:val="20"/>
                <w:szCs w:val="20"/>
                <w:color w:val="auto"/>
              </w:rPr>
            </w:pPr>
          </w:p>
        </w:tc>
        <w:tc>
          <w:tcPr>
            <w:tcW w:w="400" w:type="dxa"/>
            <w:vAlign w:val="bottom"/>
            <w:tcBorders>
              <w:bottom w:val="single" w:sz="8" w:color="1E1E1E"/>
            </w:tcBorders>
            <w:gridSpan w:val="2"/>
            <w:shd w:val="clear" w:color="auto" w:fill="E1E1E1"/>
          </w:tcPr>
          <w:p>
            <w:pPr>
              <w:jc w:val="right"/>
              <w:ind w:right="300"/>
              <w:spacing w:after="0"/>
              <w:rPr>
                <w:sz w:val="20"/>
                <w:szCs w:val="20"/>
                <w:color w:val="auto"/>
              </w:rPr>
            </w:pPr>
            <w:r>
              <w:rPr>
                <w:rFonts w:ascii="Times New Roman" w:cs="Times New Roman" w:eastAsia="Times New Roman" w:hAnsi="Times New Roman"/>
                <w:sz w:val="20"/>
                <w:szCs w:val="20"/>
                <w:color w:val="1E1E1E"/>
                <w:w w:val="79"/>
              </w:rPr>
              <w:t>$</w:t>
            </w:r>
          </w:p>
        </w:tc>
        <w:tc>
          <w:tcPr>
            <w:tcW w:w="160" w:type="dxa"/>
            <w:vAlign w:val="bottom"/>
            <w:tcBorders>
              <w:bottom w:val="single" w:sz="8" w:color="1E1E1E"/>
            </w:tcBorders>
            <w:shd w:val="clear" w:color="auto" w:fill="E1E1E1"/>
          </w:tcPr>
          <w:p>
            <w:pPr>
              <w:spacing w:after="0"/>
              <w:rPr>
                <w:sz w:val="20"/>
                <w:szCs w:val="20"/>
                <w:color w:val="auto"/>
              </w:rPr>
            </w:pPr>
          </w:p>
        </w:tc>
        <w:tc>
          <w:tcPr>
            <w:tcW w:w="94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1,232.7</w:t>
            </w:r>
          </w:p>
        </w:tc>
        <w:tc>
          <w:tcPr>
            <w:tcW w:w="140" w:type="dxa"/>
            <w:vAlign w:val="bottom"/>
            <w:shd w:val="clear" w:color="auto" w:fill="E1E1E1"/>
          </w:tcPr>
          <w:p>
            <w:pPr>
              <w:spacing w:after="0"/>
              <w:rPr>
                <w:sz w:val="20"/>
                <w:szCs w:val="20"/>
                <w:color w:val="auto"/>
              </w:rPr>
            </w:pPr>
          </w:p>
        </w:tc>
        <w:tc>
          <w:tcPr>
            <w:tcW w:w="200" w:type="dxa"/>
            <w:vAlign w:val="bottom"/>
            <w:shd w:val="clear" w:color="auto" w:fill="E1E1E1"/>
          </w:tcPr>
          <w:p>
            <w:pPr>
              <w:spacing w:after="0"/>
              <w:rPr>
                <w:sz w:val="20"/>
                <w:szCs w:val="20"/>
                <w:color w:val="auto"/>
              </w:rPr>
            </w:pPr>
          </w:p>
        </w:tc>
        <w:tc>
          <w:tcPr>
            <w:tcW w:w="1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260" w:type="dxa"/>
            <w:vAlign w:val="bottom"/>
            <w:tcBorders>
              <w:bottom w:val="single" w:sz="8" w:color="1E1E1E"/>
            </w:tcBorders>
            <w:shd w:val="clear" w:color="auto" w:fill="E1E1E1"/>
          </w:tcPr>
          <w:p>
            <w:pPr>
              <w:spacing w:after="0"/>
              <w:rPr>
                <w:sz w:val="20"/>
                <w:szCs w:val="20"/>
                <w:color w:val="auto"/>
              </w:rPr>
            </w:pPr>
          </w:p>
        </w:tc>
        <w:tc>
          <w:tcPr>
            <w:tcW w:w="1120" w:type="dxa"/>
            <w:vAlign w:val="bottom"/>
            <w:tcBorders>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1,931.6</w:t>
            </w:r>
          </w:p>
        </w:tc>
        <w:tc>
          <w:tcPr>
            <w:tcW w:w="60" w:type="dxa"/>
            <w:vAlign w:val="bottom"/>
            <w:shd w:val="clear" w:color="auto" w:fill="E1E1E1"/>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0"/>
        </w:trPr>
        <w:tc>
          <w:tcPr>
            <w:tcW w:w="6440" w:type="dxa"/>
            <w:vAlign w:val="bottom"/>
            <w:gridSpan w:val="7"/>
          </w:tcPr>
          <w:p>
            <w:pPr>
              <w:spacing w:after="0"/>
              <w:rPr>
                <w:sz w:val="20"/>
                <w:szCs w:val="20"/>
                <w:color w:val="auto"/>
              </w:rPr>
            </w:pPr>
            <w:r>
              <w:rPr>
                <w:rFonts w:ascii="Times New Roman" w:cs="Times New Roman" w:eastAsia="Times New Roman" w:hAnsi="Times New Roman"/>
                <w:sz w:val="19"/>
                <w:szCs w:val="19"/>
                <w:color w:val="1E1E1E"/>
              </w:rPr>
              <w:t>(1)   Includes activity of the OneCell business for periods prior to its disposition.</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4"/>
        </w:trPr>
        <w:tc>
          <w:tcPr>
            <w:tcW w:w="3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660" w:type="dxa"/>
            <w:vAlign w:val="bottom"/>
            <w:tcBorders>
              <w:bottom w:val="single" w:sz="8" w:color="1E1E1E"/>
            </w:tcBorders>
          </w:tcPr>
          <w:p>
            <w:pPr>
              <w:spacing w:after="0"/>
              <w:rPr>
                <w:sz w:val="24"/>
                <w:szCs w:val="24"/>
                <w:color w:val="auto"/>
              </w:rPr>
            </w:pPr>
          </w:p>
        </w:tc>
        <w:tc>
          <w:tcPr>
            <w:tcW w:w="540" w:type="dxa"/>
            <w:vAlign w:val="bottom"/>
            <w:tcBorders>
              <w:bottom w:val="single" w:sz="8" w:color="1E1E1E"/>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2800" w:type="dxa"/>
            <w:vAlign w:val="bottom"/>
            <w:tcBorders>
              <w:bottom w:val="single" w:sz="8" w:color="1E1E1E"/>
            </w:tcBorders>
            <w:gridSpan w:val="9"/>
          </w:tcPr>
          <w:p>
            <w:pPr>
              <w:ind w:left="120"/>
              <w:spacing w:after="0"/>
              <w:rPr>
                <w:sz w:val="20"/>
                <w:szCs w:val="20"/>
                <w:color w:val="auto"/>
              </w:rPr>
            </w:pPr>
            <w:r>
              <w:rPr>
                <w:rFonts w:ascii="Times New Roman" w:cs="Times New Roman" w:eastAsia="Times New Roman" w:hAnsi="Times New Roman"/>
                <w:sz w:val="16"/>
                <w:szCs w:val="16"/>
                <w:b w:val="1"/>
                <w:bCs w:val="1"/>
                <w:color w:val="1E1E1E"/>
              </w:rPr>
              <w:t>Year Ended December 31, 2024</w:t>
            </w:r>
          </w:p>
        </w:tc>
        <w:tc>
          <w:tcPr>
            <w:tcW w:w="120" w:type="dxa"/>
            <w:vAlign w:val="bottom"/>
            <w:tcBorders>
              <w:bottom w:val="single" w:sz="8" w:color="1E1E1E"/>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spacing w:after="0"/>
              <w:rPr>
                <w:sz w:val="24"/>
                <w:szCs w:val="24"/>
                <w:color w:val="auto"/>
              </w:rPr>
            </w:pPr>
          </w:p>
        </w:tc>
        <w:tc>
          <w:tcPr>
            <w:tcW w:w="60" w:type="dxa"/>
            <w:vAlign w:val="bottom"/>
          </w:tcPr>
          <w:p>
            <w:pPr>
              <w:spacing w:after="0"/>
              <w:rPr>
                <w:sz w:val="24"/>
                <w:szCs w:val="24"/>
                <w:color w:val="auto"/>
              </w:rPr>
            </w:pPr>
          </w:p>
        </w:tc>
      </w:tr>
      <w:tr>
        <w:trPr>
          <w:trHeight w:val="176"/>
        </w:trPr>
        <w:tc>
          <w:tcPr>
            <w:tcW w:w="3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360"/>
              <w:spacing w:after="0" w:line="176" w:lineRule="exact"/>
              <w:rPr>
                <w:sz w:val="20"/>
                <w:szCs w:val="20"/>
                <w:color w:val="auto"/>
              </w:rPr>
            </w:pPr>
            <w:r>
              <w:rPr>
                <w:rFonts w:ascii="Times New Roman" w:cs="Times New Roman" w:eastAsia="Times New Roman" w:hAnsi="Times New Roman"/>
                <w:sz w:val="16"/>
                <w:szCs w:val="16"/>
                <w:b w:val="1"/>
                <w:bCs w:val="1"/>
                <w:color w:val="1E1E1E"/>
              </w:rPr>
              <w:t>Corporate</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4"/>
        </w:trPr>
        <w:tc>
          <w:tcPr>
            <w:tcW w:w="3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07"/>
              <w:spacing w:after="0"/>
              <w:rPr>
                <w:sz w:val="20"/>
                <w:szCs w:val="20"/>
                <w:color w:val="auto"/>
              </w:rPr>
            </w:pPr>
            <w:r>
              <w:rPr>
                <w:rFonts w:ascii="Times New Roman" w:cs="Times New Roman" w:eastAsia="Times New Roman" w:hAnsi="Times New Roman"/>
                <w:sz w:val="16"/>
                <w:szCs w:val="16"/>
                <w:b w:val="1"/>
                <w:bCs w:val="1"/>
                <w:color w:val="1E1E1E"/>
              </w:rPr>
              <w:t xml:space="preserve">RUCKUS </w:t>
            </w:r>
            <w:r>
              <w:rPr>
                <w:rFonts w:ascii="Times New Roman" w:cs="Times New Roman" w:eastAsia="Times New Roman" w:hAnsi="Times New Roman"/>
                <w:sz w:val="10"/>
                <w:szCs w:val="10"/>
                <w:b w:val="1"/>
                <w:bCs w:val="1"/>
                <w:color w:val="1E1E1E"/>
              </w:rPr>
              <w:t>(1)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1E1E1E"/>
                <w:w w:val="98"/>
              </w:rPr>
              <w:t>Aurora</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w w:val="97"/>
              </w:rPr>
              <w:t xml:space="preserve">and other </w:t>
            </w:r>
            <w:r>
              <w:rPr>
                <w:rFonts w:ascii="Times New Roman" w:cs="Times New Roman" w:eastAsia="Times New Roman" w:hAnsi="Times New Roman"/>
                <w:sz w:val="10"/>
                <w:szCs w:val="10"/>
                <w:b w:val="1"/>
                <w:bCs w:val="1"/>
                <w:color w:val="1E1E1E"/>
                <w:w w:val="97"/>
              </w:rPr>
              <w:t>(2)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60" w:type="dxa"/>
            <w:vAlign w:val="bottom"/>
          </w:tcPr>
          <w:p>
            <w:pPr>
              <w:spacing w:after="0"/>
              <w:rPr>
                <w:sz w:val="17"/>
                <w:szCs w:val="17"/>
                <w:color w:val="auto"/>
              </w:rPr>
            </w:pPr>
          </w:p>
        </w:tc>
      </w:tr>
      <w:tr>
        <w:trPr>
          <w:trHeight w:val="239"/>
        </w:trPr>
        <w:tc>
          <w:tcPr>
            <w:tcW w:w="356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Geographic Region:</w:t>
            </w:r>
          </w:p>
        </w:tc>
        <w:tc>
          <w:tcPr>
            <w:tcW w:w="100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tcBorders>
            <w:shd w:val="clear" w:color="auto" w:fill="E1E1E1"/>
          </w:tcPr>
          <w:p>
            <w:pPr>
              <w:spacing w:after="0"/>
              <w:rPr>
                <w:sz w:val="20"/>
                <w:szCs w:val="20"/>
                <w:color w:val="auto"/>
              </w:rPr>
            </w:pPr>
          </w:p>
        </w:tc>
        <w:tc>
          <w:tcPr>
            <w:tcW w:w="660" w:type="dxa"/>
            <w:vAlign w:val="bottom"/>
            <w:tcBorders>
              <w:top w:val="single" w:sz="8" w:color="1E1E1E"/>
            </w:tcBorders>
            <w:shd w:val="clear" w:color="auto" w:fill="E1E1E1"/>
          </w:tcPr>
          <w:p>
            <w:pPr>
              <w:spacing w:after="0"/>
              <w:rPr>
                <w:sz w:val="20"/>
                <w:szCs w:val="20"/>
                <w:color w:val="auto"/>
              </w:rPr>
            </w:pPr>
          </w:p>
        </w:tc>
        <w:tc>
          <w:tcPr>
            <w:tcW w:w="540" w:type="dxa"/>
            <w:vAlign w:val="bottom"/>
            <w:tcBorders>
              <w:top w:val="single" w:sz="8" w:color="1E1E1E"/>
            </w:tcBorders>
            <w:shd w:val="clear" w:color="auto" w:fill="E1E1E1"/>
          </w:tcPr>
          <w:p>
            <w:pPr>
              <w:spacing w:after="0"/>
              <w:rPr>
                <w:sz w:val="20"/>
                <w:szCs w:val="20"/>
                <w:color w:val="auto"/>
              </w:rPr>
            </w:pPr>
          </w:p>
        </w:tc>
        <w:tc>
          <w:tcPr>
            <w:tcW w:w="30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1E1E1E"/>
            </w:tcBorders>
            <w:shd w:val="clear" w:color="auto" w:fill="E1E1E1"/>
          </w:tcPr>
          <w:p>
            <w:pPr>
              <w:spacing w:after="0"/>
              <w:rPr>
                <w:sz w:val="20"/>
                <w:szCs w:val="20"/>
                <w:color w:val="auto"/>
              </w:rPr>
            </w:pPr>
          </w:p>
        </w:tc>
        <w:tc>
          <w:tcPr>
            <w:tcW w:w="620" w:type="dxa"/>
            <w:vAlign w:val="bottom"/>
            <w:tcBorders>
              <w:top w:val="single" w:sz="8" w:color="1E1E1E"/>
            </w:tcBorders>
            <w:shd w:val="clear" w:color="auto" w:fill="E1E1E1"/>
          </w:tcPr>
          <w:p>
            <w:pPr>
              <w:spacing w:after="0"/>
              <w:rPr>
                <w:sz w:val="20"/>
                <w:szCs w:val="20"/>
                <w:color w:val="auto"/>
              </w:rPr>
            </w:pPr>
          </w:p>
        </w:tc>
        <w:tc>
          <w:tcPr>
            <w:tcW w:w="60" w:type="dxa"/>
            <w:vAlign w:val="bottom"/>
            <w:tcBorders>
              <w:top w:val="single" w:sz="8" w:color="1E1E1E"/>
            </w:tcBorders>
            <w:shd w:val="clear" w:color="auto" w:fill="E1E1E1"/>
          </w:tcPr>
          <w:p>
            <w:pPr>
              <w:spacing w:after="0"/>
              <w:rPr>
                <w:sz w:val="20"/>
                <w:szCs w:val="20"/>
                <w:color w:val="auto"/>
              </w:rPr>
            </w:pPr>
          </w:p>
        </w:tc>
        <w:tc>
          <w:tcPr>
            <w:tcW w:w="280" w:type="dxa"/>
            <w:vAlign w:val="bottom"/>
            <w:tcBorders>
              <w:top w:val="single" w:sz="8" w:color="1E1E1E"/>
            </w:tcBorders>
            <w:shd w:val="clear" w:color="auto" w:fill="E1E1E1"/>
          </w:tcPr>
          <w:p>
            <w:pPr>
              <w:spacing w:after="0"/>
              <w:rPr>
                <w:sz w:val="20"/>
                <w:szCs w:val="20"/>
                <w:color w:val="auto"/>
              </w:rPr>
            </w:pPr>
          </w:p>
        </w:tc>
        <w:tc>
          <w:tcPr>
            <w:tcW w:w="100" w:type="dxa"/>
            <w:vAlign w:val="bottom"/>
            <w:tcBorders>
              <w:top w:val="single" w:sz="8" w:color="1E1E1E"/>
            </w:tcBorders>
            <w:shd w:val="clear" w:color="auto" w:fill="E1E1E1"/>
          </w:tcPr>
          <w:p>
            <w:pPr>
              <w:spacing w:after="0"/>
              <w:rPr>
                <w:sz w:val="20"/>
                <w:szCs w:val="20"/>
                <w:color w:val="auto"/>
              </w:rPr>
            </w:pPr>
          </w:p>
        </w:tc>
        <w:tc>
          <w:tcPr>
            <w:tcW w:w="300" w:type="dxa"/>
            <w:vAlign w:val="bottom"/>
            <w:tcBorders>
              <w:top w:val="single" w:sz="8" w:color="E1E1E1"/>
            </w:tcBorders>
            <w:shd w:val="clear" w:color="auto" w:fill="E1E1E1"/>
          </w:tcPr>
          <w:p>
            <w:pPr>
              <w:spacing w:after="0"/>
              <w:rPr>
                <w:sz w:val="20"/>
                <w:szCs w:val="20"/>
                <w:color w:val="auto"/>
              </w:rPr>
            </w:pPr>
          </w:p>
        </w:tc>
        <w:tc>
          <w:tcPr>
            <w:tcW w:w="160" w:type="dxa"/>
            <w:vAlign w:val="bottom"/>
            <w:tcBorders>
              <w:top w:val="single" w:sz="8" w:color="1E1E1E"/>
            </w:tcBorders>
            <w:shd w:val="clear" w:color="auto" w:fill="E1E1E1"/>
          </w:tcPr>
          <w:p>
            <w:pPr>
              <w:spacing w:after="0"/>
              <w:rPr>
                <w:sz w:val="20"/>
                <w:szCs w:val="20"/>
                <w:color w:val="auto"/>
              </w:rPr>
            </w:pPr>
          </w:p>
        </w:tc>
        <w:tc>
          <w:tcPr>
            <w:tcW w:w="940" w:type="dxa"/>
            <w:vAlign w:val="bottom"/>
            <w:tcBorders>
              <w:top w:val="single" w:sz="8" w:color="1E1E1E"/>
            </w:tcBorders>
            <w:shd w:val="clear" w:color="auto" w:fill="E1E1E1"/>
          </w:tcPr>
          <w:p>
            <w:pPr>
              <w:spacing w:after="0"/>
              <w:rPr>
                <w:sz w:val="20"/>
                <w:szCs w:val="20"/>
                <w:color w:val="auto"/>
              </w:rPr>
            </w:pPr>
          </w:p>
        </w:tc>
        <w:tc>
          <w:tcPr>
            <w:tcW w:w="140" w:type="dxa"/>
            <w:vAlign w:val="bottom"/>
            <w:tcBorders>
              <w:top w:val="single" w:sz="8" w:color="1E1E1E"/>
            </w:tcBorders>
            <w:shd w:val="clear" w:color="auto" w:fill="E1E1E1"/>
          </w:tcPr>
          <w:p>
            <w:pPr>
              <w:spacing w:after="0"/>
              <w:rPr>
                <w:sz w:val="20"/>
                <w:szCs w:val="20"/>
                <w:color w:val="auto"/>
              </w:rPr>
            </w:pPr>
          </w:p>
        </w:tc>
        <w:tc>
          <w:tcPr>
            <w:tcW w:w="20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E1E1E1"/>
            </w:tcBorders>
            <w:shd w:val="clear" w:color="auto" w:fill="E1E1E1"/>
          </w:tcPr>
          <w:p>
            <w:pPr>
              <w:spacing w:after="0"/>
              <w:rPr>
                <w:sz w:val="20"/>
                <w:szCs w:val="20"/>
                <w:color w:val="auto"/>
              </w:rPr>
            </w:pPr>
          </w:p>
        </w:tc>
        <w:tc>
          <w:tcPr>
            <w:tcW w:w="260" w:type="dxa"/>
            <w:vAlign w:val="bottom"/>
            <w:tcBorders>
              <w:top w:val="single" w:sz="8" w:color="1E1E1E"/>
            </w:tcBorders>
            <w:shd w:val="clear" w:color="auto" w:fill="E1E1E1"/>
          </w:tcPr>
          <w:p>
            <w:pPr>
              <w:spacing w:after="0"/>
              <w:rPr>
                <w:sz w:val="20"/>
                <w:szCs w:val="20"/>
                <w:color w:val="auto"/>
              </w:rPr>
            </w:pPr>
          </w:p>
        </w:tc>
        <w:tc>
          <w:tcPr>
            <w:tcW w:w="1120" w:type="dxa"/>
            <w:vAlign w:val="bottom"/>
            <w:tcBorders>
              <w:top w:val="single" w:sz="8" w:color="1E1E1E"/>
            </w:tcBorders>
            <w:shd w:val="clear" w:color="auto" w:fill="E1E1E1"/>
          </w:tcPr>
          <w:p>
            <w:pPr>
              <w:spacing w:after="0"/>
              <w:rPr>
                <w:sz w:val="20"/>
                <w:szCs w:val="20"/>
                <w:color w:val="auto"/>
              </w:rPr>
            </w:pPr>
          </w:p>
        </w:tc>
        <w:tc>
          <w:tcPr>
            <w:tcW w:w="60" w:type="dxa"/>
            <w:vAlign w:val="bottom"/>
            <w:tcBorders>
              <w:top w:val="single" w:sz="8" w:color="E1E1E1"/>
            </w:tcBorders>
            <w:shd w:val="clear" w:color="auto" w:fill="E1E1E1"/>
          </w:tcPr>
          <w:p>
            <w:pPr>
              <w:spacing w:after="0"/>
              <w:rPr>
                <w:sz w:val="20"/>
                <w:szCs w:val="20"/>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1E1E1E"/>
              </w:rPr>
              <w:t>United States</w:t>
            </w:r>
          </w:p>
        </w:tc>
        <w:tc>
          <w:tcPr>
            <w:tcW w:w="10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327.4</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1E1E1E"/>
              </w:rPr>
              <w:t>595.1</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922.5</w:t>
            </w:r>
          </w:p>
        </w:tc>
        <w:tc>
          <w:tcPr>
            <w:tcW w:w="60" w:type="dxa"/>
            <w:vAlign w:val="bottom"/>
          </w:tcPr>
          <w:p>
            <w:pPr>
              <w:spacing w:after="0"/>
              <w:rPr>
                <w:sz w:val="21"/>
                <w:szCs w:val="21"/>
                <w:color w:val="auto"/>
              </w:rPr>
            </w:pPr>
          </w:p>
        </w:tc>
      </w:tr>
      <w:tr>
        <w:trPr>
          <w:trHeight w:val="244"/>
        </w:trPr>
        <w:tc>
          <w:tcPr>
            <w:tcW w:w="35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Europe, Middle East and Africa</w:t>
            </w:r>
          </w:p>
        </w:tc>
        <w:tc>
          <w:tcPr>
            <w:tcW w:w="10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20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107.1</w:t>
            </w:r>
          </w:p>
        </w:tc>
        <w:tc>
          <w:tcPr>
            <w:tcW w:w="30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62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3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7"/>
              </w:rPr>
              <w:t>53.2</w:t>
            </w:r>
          </w:p>
        </w:tc>
        <w:tc>
          <w:tcPr>
            <w:tcW w:w="30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10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0.5</w:t>
            </w:r>
          </w:p>
        </w:tc>
        <w:tc>
          <w:tcPr>
            <w:tcW w:w="2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160.8</w:t>
            </w:r>
          </w:p>
        </w:tc>
        <w:tc>
          <w:tcPr>
            <w:tcW w:w="60" w:type="dxa"/>
            <w:vAlign w:val="bottom"/>
            <w:shd w:val="clear" w:color="auto" w:fill="E1E1E1"/>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1E1E1E"/>
              </w:rPr>
              <w:t>Asia Pacific</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79.7</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w w:val="97"/>
              </w:rPr>
              <w:t>42.2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121.9</w:t>
            </w:r>
          </w:p>
        </w:tc>
        <w:tc>
          <w:tcPr>
            <w:tcW w:w="60" w:type="dxa"/>
            <w:vAlign w:val="bottom"/>
          </w:tcPr>
          <w:p>
            <w:pPr>
              <w:spacing w:after="0"/>
              <w:rPr>
                <w:sz w:val="21"/>
                <w:szCs w:val="21"/>
                <w:color w:val="auto"/>
              </w:rPr>
            </w:pPr>
          </w:p>
        </w:tc>
      </w:tr>
      <w:tr>
        <w:trPr>
          <w:trHeight w:val="244"/>
        </w:trPr>
        <w:tc>
          <w:tcPr>
            <w:tcW w:w="3560" w:type="dxa"/>
            <w:vAlign w:val="bottom"/>
            <w:shd w:val="clear" w:color="auto" w:fill="E1E1E1"/>
          </w:tcPr>
          <w:p>
            <w:pPr>
              <w:spacing w:after="0"/>
              <w:rPr>
                <w:sz w:val="20"/>
                <w:szCs w:val="20"/>
                <w:color w:val="auto"/>
              </w:rPr>
            </w:pPr>
            <w:r>
              <w:rPr>
                <w:rFonts w:ascii="Times New Roman" w:cs="Times New Roman" w:eastAsia="Times New Roman" w:hAnsi="Times New Roman"/>
                <w:sz w:val="20"/>
                <w:szCs w:val="20"/>
                <w:color w:val="1E1E1E"/>
              </w:rPr>
              <w:t>Caribbean and Latin America</w:t>
            </w:r>
          </w:p>
        </w:tc>
        <w:tc>
          <w:tcPr>
            <w:tcW w:w="100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120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23.1</w:t>
            </w:r>
          </w:p>
        </w:tc>
        <w:tc>
          <w:tcPr>
            <w:tcW w:w="300" w:type="dxa"/>
            <w:vAlign w:val="bottom"/>
            <w:shd w:val="clear" w:color="auto" w:fill="E1E1E1"/>
          </w:tcPr>
          <w:p>
            <w:pPr>
              <w:spacing w:after="0"/>
              <w:rPr>
                <w:sz w:val="21"/>
                <w:szCs w:val="21"/>
                <w:color w:val="auto"/>
              </w:rPr>
            </w:pPr>
          </w:p>
        </w:tc>
        <w:tc>
          <w:tcPr>
            <w:tcW w:w="200" w:type="dxa"/>
            <w:vAlign w:val="bottom"/>
            <w:shd w:val="clear" w:color="auto" w:fill="E1E1E1"/>
          </w:tcPr>
          <w:p>
            <w:pPr>
              <w:spacing w:after="0"/>
              <w:rPr>
                <w:sz w:val="21"/>
                <w:szCs w:val="21"/>
                <w:color w:val="auto"/>
              </w:rPr>
            </w:pPr>
          </w:p>
        </w:tc>
        <w:tc>
          <w:tcPr>
            <w:tcW w:w="620" w:type="dxa"/>
            <w:vAlign w:val="bottom"/>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38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97"/>
              </w:rPr>
              <w:t>75.0</w:t>
            </w:r>
          </w:p>
        </w:tc>
        <w:tc>
          <w:tcPr>
            <w:tcW w:w="300" w:type="dxa"/>
            <w:vAlign w:val="bottom"/>
            <w:shd w:val="clear" w:color="auto" w:fill="E1E1E1"/>
          </w:tcPr>
          <w:p>
            <w:pPr>
              <w:spacing w:after="0"/>
              <w:rPr>
                <w:sz w:val="21"/>
                <w:szCs w:val="21"/>
                <w:color w:val="auto"/>
              </w:rPr>
            </w:pPr>
          </w:p>
        </w:tc>
        <w:tc>
          <w:tcPr>
            <w:tcW w:w="160" w:type="dxa"/>
            <w:vAlign w:val="bottom"/>
            <w:shd w:val="clear" w:color="auto" w:fill="E1E1E1"/>
          </w:tcPr>
          <w:p>
            <w:pPr>
              <w:spacing w:after="0"/>
              <w:rPr>
                <w:sz w:val="21"/>
                <w:szCs w:val="21"/>
                <w:color w:val="auto"/>
              </w:rPr>
            </w:pPr>
          </w:p>
        </w:tc>
        <w:tc>
          <w:tcPr>
            <w:tcW w:w="1280" w:type="dxa"/>
            <w:vAlign w:val="bottom"/>
            <w:gridSpan w:val="3"/>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1E1E1"/>
          </w:tcPr>
          <w:p>
            <w:pPr>
              <w:spacing w:after="0"/>
              <w:rPr>
                <w:sz w:val="21"/>
                <w:szCs w:val="21"/>
                <w:color w:val="auto"/>
              </w:rPr>
            </w:pPr>
          </w:p>
        </w:tc>
        <w:tc>
          <w:tcPr>
            <w:tcW w:w="260" w:type="dxa"/>
            <w:vAlign w:val="bottom"/>
            <w:shd w:val="clear" w:color="auto" w:fill="E1E1E1"/>
          </w:tcPr>
          <w:p>
            <w:pPr>
              <w:spacing w:after="0"/>
              <w:rPr>
                <w:sz w:val="21"/>
                <w:szCs w:val="21"/>
                <w:color w:val="auto"/>
              </w:rPr>
            </w:pPr>
          </w:p>
        </w:tc>
        <w:tc>
          <w:tcPr>
            <w:tcW w:w="1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98.1</w:t>
            </w:r>
          </w:p>
        </w:tc>
        <w:tc>
          <w:tcPr>
            <w:tcW w:w="60" w:type="dxa"/>
            <w:vAlign w:val="bottom"/>
            <w:shd w:val="clear" w:color="auto" w:fill="E1E1E1"/>
          </w:tcPr>
          <w:p>
            <w:pPr>
              <w:spacing w:after="0"/>
              <w:rPr>
                <w:sz w:val="21"/>
                <w:szCs w:val="21"/>
                <w:color w:val="auto"/>
              </w:rPr>
            </w:pP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1E1E1E"/>
              </w:rPr>
              <w:t>Canada</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w w:val="97"/>
              </w:rPr>
              <w:t>70.3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79.3</w:t>
            </w:r>
          </w:p>
        </w:tc>
        <w:tc>
          <w:tcPr>
            <w:tcW w:w="60" w:type="dxa"/>
            <w:vAlign w:val="bottom"/>
          </w:tcPr>
          <w:p>
            <w:pPr>
              <w:spacing w:after="0"/>
              <w:rPr>
                <w:sz w:val="21"/>
                <w:szCs w:val="21"/>
                <w:color w:val="auto"/>
              </w:rPr>
            </w:pPr>
          </w:p>
        </w:tc>
      </w:tr>
      <w:tr>
        <w:trPr>
          <w:trHeight w:val="239"/>
        </w:trPr>
        <w:tc>
          <w:tcPr>
            <w:tcW w:w="3560" w:type="dxa"/>
            <w:vAlign w:val="bottom"/>
            <w:tcBorders>
              <w:top w:val="single" w:sz="8" w:color="E1E1E1"/>
            </w:tcBorders>
            <w:shd w:val="clear" w:color="auto" w:fill="E1E1E1"/>
          </w:tcPr>
          <w:p>
            <w:pPr>
              <w:spacing w:after="0"/>
              <w:rPr>
                <w:sz w:val="20"/>
                <w:szCs w:val="20"/>
                <w:color w:val="auto"/>
              </w:rPr>
            </w:pPr>
            <w:r>
              <w:rPr>
                <w:rFonts w:ascii="Times New Roman" w:cs="Times New Roman" w:eastAsia="Times New Roman" w:hAnsi="Times New Roman"/>
                <w:sz w:val="20"/>
                <w:szCs w:val="20"/>
                <w:color w:val="1E1E1E"/>
              </w:rPr>
              <w:t>Consolidated net sales</w:t>
            </w:r>
          </w:p>
        </w:tc>
        <w:tc>
          <w:tcPr>
            <w:tcW w:w="1000" w:type="dxa"/>
            <w:vAlign w:val="bottom"/>
            <w:tcBorders>
              <w:top w:val="single" w:sz="8" w:color="E1E1E1"/>
            </w:tcBorders>
            <w:shd w:val="clear" w:color="auto" w:fill="E1E1E1"/>
          </w:tcPr>
          <w:p>
            <w:pPr>
              <w:spacing w:after="0"/>
              <w:rPr>
                <w:sz w:val="20"/>
                <w:szCs w:val="20"/>
                <w:color w:val="auto"/>
              </w:rPr>
            </w:pPr>
          </w:p>
        </w:tc>
        <w:tc>
          <w:tcPr>
            <w:tcW w:w="18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top w:val="single" w:sz="8" w:color="1E1E1E"/>
              <w:bottom w:val="single" w:sz="8" w:color="1E1E1E"/>
            </w:tcBorders>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546.3</w:t>
            </w:r>
          </w:p>
        </w:tc>
        <w:tc>
          <w:tcPr>
            <w:tcW w:w="300" w:type="dxa"/>
            <w:vAlign w:val="bottom"/>
            <w:tcBorders>
              <w:top w:val="single" w:sz="8" w:color="E1E1E1"/>
            </w:tcBorders>
            <w:shd w:val="clear" w:color="auto" w:fill="E1E1E1"/>
          </w:tcPr>
          <w:p>
            <w:pPr>
              <w:spacing w:after="0"/>
              <w:rPr>
                <w:sz w:val="20"/>
                <w:szCs w:val="20"/>
                <w:color w:val="auto"/>
              </w:rPr>
            </w:pPr>
          </w:p>
        </w:tc>
        <w:tc>
          <w:tcPr>
            <w:tcW w:w="20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60" w:type="dxa"/>
            <w:vAlign w:val="bottom"/>
            <w:tcBorders>
              <w:top w:val="single" w:sz="8" w:color="1E1E1E"/>
              <w:bottom w:val="single" w:sz="8" w:color="1E1E1E"/>
            </w:tcBorders>
            <w:gridSpan w:val="4"/>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835.8</w:t>
            </w:r>
          </w:p>
        </w:tc>
        <w:tc>
          <w:tcPr>
            <w:tcW w:w="300" w:type="dxa"/>
            <w:vAlign w:val="bottom"/>
            <w:tcBorders>
              <w:top w:val="single" w:sz="8" w:color="E1E1E1"/>
            </w:tcBorders>
            <w:shd w:val="clear" w:color="auto" w:fill="E1E1E1"/>
          </w:tcPr>
          <w:p>
            <w:pPr>
              <w:spacing w:after="0"/>
              <w:rPr>
                <w:sz w:val="20"/>
                <w:szCs w:val="20"/>
                <w:color w:val="auto"/>
              </w:rPr>
            </w:pPr>
          </w:p>
        </w:tc>
        <w:tc>
          <w:tcPr>
            <w:tcW w:w="16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bottom w:val="single" w:sz="8" w:color="1E1E1E"/>
            </w:tcBorders>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0.5</w:t>
            </w:r>
          </w:p>
        </w:tc>
        <w:tc>
          <w:tcPr>
            <w:tcW w:w="200" w:type="dxa"/>
            <w:vAlign w:val="bottom"/>
            <w:tcBorders>
              <w:top w:val="single" w:sz="8" w:color="E1E1E1"/>
            </w:tcBorders>
            <w:shd w:val="clear" w:color="auto" w:fill="E1E1E1"/>
          </w:tcPr>
          <w:p>
            <w:pPr>
              <w:spacing w:after="0"/>
              <w:rPr>
                <w:sz w:val="20"/>
                <w:szCs w:val="20"/>
                <w:color w:val="auto"/>
              </w:rPr>
            </w:pPr>
          </w:p>
        </w:tc>
        <w:tc>
          <w:tcPr>
            <w:tcW w:w="120" w:type="dxa"/>
            <w:vAlign w:val="bottom"/>
            <w:tcBorders>
              <w:top w:val="single" w:sz="8" w:color="E1E1E1"/>
            </w:tcBorders>
            <w:shd w:val="clear" w:color="auto" w:fill="E1E1E1"/>
          </w:tcPr>
          <w:p>
            <w:pPr>
              <w:spacing w:after="0"/>
              <w:rPr>
                <w:sz w:val="20"/>
                <w:szCs w:val="20"/>
                <w:color w:val="auto"/>
              </w:rPr>
            </w:pPr>
          </w:p>
        </w:tc>
        <w:tc>
          <w:tcPr>
            <w:tcW w:w="260" w:type="dxa"/>
            <w:vAlign w:val="bottom"/>
            <w:tcBorders>
              <w:top w:val="single" w:sz="8" w:color="1E1E1E"/>
              <w:bottom w:val="single" w:sz="8" w:color="1E1E1E"/>
            </w:tcBorders>
            <w:shd w:val="clear" w:color="auto" w:fill="E1E1E1"/>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top w:val="single" w:sz="8" w:color="1E1E1E"/>
              <w:bottom w:val="single" w:sz="8" w:color="1E1E1E"/>
            </w:tcBorders>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1,382.6</w:t>
            </w:r>
          </w:p>
        </w:tc>
        <w:tc>
          <w:tcPr>
            <w:tcW w:w="60" w:type="dxa"/>
            <w:vAlign w:val="bottom"/>
            <w:tcBorders>
              <w:top w:val="single" w:sz="8" w:color="E1E1E1"/>
            </w:tcBorders>
            <w:shd w:val="clear" w:color="auto" w:fill="E1E1E1"/>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660" w:type="dxa"/>
            <w:vAlign w:val="bottom"/>
            <w:tcBorders>
              <w:bottom w:val="single" w:sz="8" w:color="1E1E1E"/>
            </w:tcBorders>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60" w:type="dxa"/>
            <w:vAlign w:val="bottom"/>
            <w:tcBorders>
              <w:bottom w:val="single" w:sz="8" w:color="1E1E1E"/>
            </w:tcBorders>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0" w:lineRule="exact"/>
        <w:rPr>
          <w:sz w:val="20"/>
          <w:szCs w:val="20"/>
          <w:color w:val="auto"/>
        </w:rPr>
      </w:pPr>
    </w:p>
    <w:p>
      <w:pPr>
        <w:ind w:left="480" w:hanging="480"/>
        <w:spacing w:after="0"/>
        <w:tabs>
          <w:tab w:leader="none" w:pos="480" w:val="left"/>
        </w:tabs>
        <w:numPr>
          <w:ilvl w:val="0"/>
          <w:numId w:val="7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Includes activity of the OneCell business for periods prior to its disposition.</w:t>
      </w:r>
    </w:p>
    <w:p>
      <w:pPr>
        <w:spacing w:after="0" w:line="60" w:lineRule="exact"/>
        <w:rPr>
          <w:rFonts w:ascii="Times New Roman" w:cs="Times New Roman" w:eastAsia="Times New Roman" w:hAnsi="Times New Roman"/>
          <w:sz w:val="19"/>
          <w:szCs w:val="19"/>
          <w:color w:val="1E1E1E"/>
        </w:rPr>
      </w:pPr>
    </w:p>
    <w:p>
      <w:pPr>
        <w:ind w:left="480" w:right="200" w:hanging="480"/>
        <w:spacing w:after="0" w:line="280" w:lineRule="auto"/>
        <w:tabs>
          <w:tab w:leader="none" w:pos="480" w:val="left"/>
        </w:tabs>
        <w:numPr>
          <w:ilvl w:val="0"/>
          <w:numId w:val="7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corporate and other category above includes the activity from a business line within the CCS segment that was not divested with the sale of the CCS segment.</w:t>
      </w:r>
    </w:p>
    <w:p>
      <w:pPr>
        <w:spacing w:after="0" w:line="126"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1E1E1E"/>
        </w:rPr>
        <w:t>Long-lived assets, excluding intangible assets, consist substantially of property, plant and equipment and right of use assets. The Company’s long-lived assets, excluding intangible assets, located in the U.S., EMEA, APAC and CALA regions represented the following percentages of such long-lived assets: 80%, 2%, 10% and 8%, respectively, as of December 31, 2025 and 71%, 6%, 17% and 6%, respectively, as of December 31, 2024.</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99</w:t>
      </w:r>
    </w:p>
    <w:p>
      <w:pPr>
        <w:sectPr>
          <w:pgSz w:w="11880" w:h="15480" w:orient="portrait"/>
          <w:cols w:equalWidth="0" w:num="1">
            <w:col w:w="10800"/>
          </w:cols>
          <w:pgMar w:left="540" w:top="515" w:right="54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0" w:lineRule="exact"/>
        <w:rPr>
          <w:sz w:val="20"/>
          <w:szCs w:val="20"/>
          <w:color w:val="auto"/>
        </w:rPr>
      </w:pPr>
    </w:p>
    <w:p>
      <w:pPr>
        <w:ind w:left="460" w:hanging="460"/>
        <w:spacing w:after="0"/>
        <w:tabs>
          <w:tab w:leader="none" w:pos="460" w:val="left"/>
        </w:tabs>
        <w:numPr>
          <w:ilvl w:val="0"/>
          <w:numId w:val="7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QUARTERLY FINANCIAL DATA (UNAUDITED)</w:t>
      </w:r>
    </w:p>
    <w:p>
      <w:pPr>
        <w:spacing w:after="0" w:line="203"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0"/>
          <w:szCs w:val="20"/>
          <w:color w:val="1E1E1E"/>
        </w:rPr>
        <w:t>The unaudited interim financial information below has been recast to reflect the discontinuation of the CCS segment, OWN segment, DAS business unit and Home business. For further information on discontinued operations, see Note 4 in these consolidated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1E1E1E"/>
              </w:rPr>
              <w:t>First</w:t>
            </w:r>
          </w:p>
        </w:tc>
        <w:tc>
          <w:tcPr>
            <w:tcW w:w="12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rPr>
              <w:t>Second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1E1E1E"/>
                <w:w w:val="99"/>
              </w:rPr>
              <w:t>Third</w:t>
            </w: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w w:val="99"/>
              </w:rPr>
              <w:t>Fourth</w:t>
            </w:r>
          </w:p>
        </w:tc>
      </w:tr>
      <w:tr>
        <w:trPr>
          <w:trHeight w:val="184"/>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1E1E1E"/>
                <w:w w:val="99"/>
              </w:rPr>
              <w:t>Quarter</w:t>
            </w:r>
          </w:p>
        </w:tc>
        <w:tc>
          <w:tcPr>
            <w:tcW w:w="12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Quarter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1E1E1E"/>
                <w:w w:val="99"/>
              </w:rPr>
              <w:t>Quarter</w:t>
            </w: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w w:val="99"/>
              </w:rPr>
              <w:t>Quarter</w:t>
            </w:r>
          </w:p>
        </w:tc>
      </w:tr>
      <w:tr>
        <w:trPr>
          <w:trHeight w:val="204"/>
        </w:trPr>
        <w:tc>
          <w:tcPr>
            <w:tcW w:w="6120" w:type="dxa"/>
            <w:vAlign w:val="bottom"/>
            <w:tcBorders>
              <w:bottom w:val="single" w:sz="8" w:color="E1E1E1"/>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1E1E1E"/>
                <w:w w:val="99"/>
              </w:rPr>
              <w:t>2025</w:t>
            </w:r>
          </w:p>
        </w:tc>
        <w:tc>
          <w:tcPr>
            <w:tcW w:w="280" w:type="dxa"/>
            <w:vAlign w:val="bottom"/>
            <w:tcBorders>
              <w:bottom w:val="single" w:sz="8" w:color="E1E1E1"/>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720" w:type="dxa"/>
            <w:vAlign w:val="bottom"/>
            <w:tcBorders>
              <w:bottom w:val="single" w:sz="8" w:color="1E1E1E"/>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1E1E1E"/>
                <w:w w:val="99"/>
              </w:rPr>
              <w:t>2025</w:t>
            </w:r>
          </w:p>
        </w:tc>
        <w:tc>
          <w:tcPr>
            <w:tcW w:w="160" w:type="dxa"/>
            <w:vAlign w:val="bottom"/>
            <w:tcBorders>
              <w:bottom w:val="single" w:sz="8" w:color="E1E1E1"/>
            </w:tcBorders>
          </w:tcPr>
          <w:p>
            <w:pPr>
              <w:spacing w:after="0"/>
              <w:rPr>
                <w:sz w:val="17"/>
                <w:szCs w:val="17"/>
                <w:color w:val="auto"/>
              </w:rPr>
            </w:pPr>
          </w:p>
        </w:tc>
        <w:tc>
          <w:tcPr>
            <w:tcW w:w="100" w:type="dxa"/>
            <w:vAlign w:val="bottom"/>
            <w:tcBorders>
              <w:bottom w:val="single" w:sz="8" w:color="E1E1E1"/>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1E1E1E"/>
                <w:w w:val="99"/>
              </w:rPr>
              <w:t>2025</w:t>
            </w:r>
          </w:p>
        </w:tc>
        <w:tc>
          <w:tcPr>
            <w:tcW w:w="260" w:type="dxa"/>
            <w:vAlign w:val="bottom"/>
            <w:tcBorders>
              <w:bottom w:val="single" w:sz="8" w:color="E1E1E1"/>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1E1E1E"/>
                <w:w w:val="99"/>
              </w:rPr>
              <w:t>2025</w:t>
            </w:r>
          </w:p>
        </w:tc>
        <w:tc>
          <w:tcPr>
            <w:tcW w:w="80" w:type="dxa"/>
            <w:vAlign w:val="bottom"/>
            <w:tcBorders>
              <w:bottom w:val="single" w:sz="8" w:color="E1E1E1"/>
            </w:tcBorders>
          </w:tcPr>
          <w:p>
            <w:pPr>
              <w:spacing w:after="0"/>
              <w:rPr>
                <w:sz w:val="17"/>
                <w:szCs w:val="17"/>
                <w:color w:val="auto"/>
              </w:rPr>
            </w:pPr>
          </w:p>
        </w:tc>
      </w:tr>
      <w:tr>
        <w:trPr>
          <w:trHeight w:val="239"/>
        </w:trPr>
        <w:tc>
          <w:tcPr>
            <w:tcW w:w="61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Net sales</w:t>
            </w:r>
          </w:p>
        </w:tc>
        <w:tc>
          <w:tcPr>
            <w:tcW w:w="1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388.1</w:t>
            </w:r>
          </w:p>
        </w:tc>
        <w:tc>
          <w:tcPr>
            <w:tcW w:w="280" w:type="dxa"/>
            <w:vAlign w:val="bottom"/>
            <w:shd w:val="clear" w:color="auto" w:fill="E1E1E1"/>
          </w:tcPr>
          <w:p>
            <w:pPr>
              <w:spacing w:after="0"/>
              <w:rPr>
                <w:sz w:val="20"/>
                <w:szCs w:val="20"/>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1E1E1"/>
              </w:rPr>
              <w:t>$</w:t>
            </w: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512.7</w:t>
            </w:r>
          </w:p>
        </w:tc>
        <w:tc>
          <w:tcPr>
            <w:tcW w:w="16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1E1E1"/>
              </w:rPr>
              <w:t>$</w:t>
            </w: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516.3</w:t>
            </w:r>
          </w:p>
        </w:tc>
        <w:tc>
          <w:tcPr>
            <w:tcW w:w="260" w:type="dxa"/>
            <w:vAlign w:val="bottom"/>
            <w:shd w:val="clear" w:color="auto" w:fill="E1E1E1"/>
          </w:tcPr>
          <w:p>
            <w:pPr>
              <w:spacing w:after="0"/>
              <w:rPr>
                <w:sz w:val="20"/>
                <w:szCs w:val="20"/>
                <w:color w:val="auto"/>
              </w:rPr>
            </w:pP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514.5</w:t>
            </w:r>
          </w:p>
        </w:tc>
        <w:tc>
          <w:tcPr>
            <w:tcW w:w="80" w:type="dxa"/>
            <w:vAlign w:val="bottom"/>
            <w:shd w:val="clear" w:color="auto" w:fill="E1E1E1"/>
          </w:tcPr>
          <w:p>
            <w:pPr>
              <w:spacing w:after="0"/>
              <w:rPr>
                <w:sz w:val="20"/>
                <w:szCs w:val="20"/>
                <w:color w:val="auto"/>
              </w:rPr>
            </w:pPr>
          </w:p>
        </w:tc>
      </w:tr>
      <w:tr>
        <w:trPr>
          <w:trHeight w:val="244"/>
        </w:trPr>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Gross profit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279.6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244.4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234.3</w:t>
            </w:r>
          </w:p>
        </w:tc>
        <w:tc>
          <w:tcPr>
            <w:tcW w:w="80" w:type="dxa"/>
            <w:vAlign w:val="bottom"/>
          </w:tcPr>
          <w:p>
            <w:pPr>
              <w:spacing w:after="0"/>
              <w:rPr>
                <w:sz w:val="21"/>
                <w:szCs w:val="21"/>
                <w:color w:val="auto"/>
              </w:rPr>
            </w:pPr>
          </w:p>
        </w:tc>
      </w:tr>
      <w:tr>
        <w:trPr>
          <w:trHeight w:val="244"/>
        </w:trPr>
        <w:tc>
          <w:tcPr>
            <w:tcW w:w="61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Operating income (loss)</w:t>
            </w:r>
          </w:p>
        </w:tc>
        <w:tc>
          <w:tcPr>
            <w:tcW w:w="160" w:type="dxa"/>
            <w:vAlign w:val="bottom"/>
            <w:shd w:val="clear" w:color="auto" w:fill="E1E1E1"/>
          </w:tcPr>
          <w:p>
            <w:pPr>
              <w:spacing w:after="0"/>
              <w:rPr>
                <w:sz w:val="21"/>
                <w:szCs w:val="21"/>
                <w:color w:val="auto"/>
              </w:rPr>
            </w:pPr>
          </w:p>
        </w:tc>
        <w:tc>
          <w:tcPr>
            <w:tcW w:w="114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(16.3)</w:t>
            </w:r>
          </w:p>
        </w:tc>
        <w:tc>
          <w:tcPr>
            <w:tcW w:w="120" w:type="dxa"/>
            <w:vAlign w:val="bottom"/>
            <w:shd w:val="clear" w:color="auto" w:fill="E1E1E1"/>
          </w:tcPr>
          <w:p>
            <w:pPr>
              <w:spacing w:after="0"/>
              <w:rPr>
                <w:sz w:val="21"/>
                <w:szCs w:val="21"/>
                <w:color w:val="auto"/>
              </w:rPr>
            </w:pP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48.1</w:t>
            </w:r>
          </w:p>
        </w:tc>
        <w:tc>
          <w:tcPr>
            <w:tcW w:w="16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18.7</w:t>
            </w:r>
          </w:p>
        </w:tc>
        <w:tc>
          <w:tcPr>
            <w:tcW w:w="2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(2.9)</w:t>
            </w:r>
          </w:p>
        </w:tc>
      </w:tr>
      <w:tr>
        <w:trPr>
          <w:trHeight w:val="244"/>
        </w:trPr>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Income (loss) from continuing operations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341.1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(50.3)</w:t>
            </w:r>
          </w:p>
        </w:tc>
      </w:tr>
      <w:tr>
        <w:trPr>
          <w:trHeight w:val="244"/>
        </w:trPr>
        <w:tc>
          <w:tcPr>
            <w:tcW w:w="61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Net income</w:t>
            </w:r>
          </w:p>
        </w:tc>
        <w:tc>
          <w:tcPr>
            <w:tcW w:w="160" w:type="dxa"/>
            <w:vAlign w:val="bottom"/>
            <w:shd w:val="clear" w:color="auto" w:fill="E1E1E1"/>
          </w:tcPr>
          <w:p>
            <w:pPr>
              <w:spacing w:after="0"/>
              <w:rPr>
                <w:sz w:val="21"/>
                <w:szCs w:val="21"/>
                <w:color w:val="auto"/>
              </w:rPr>
            </w:pP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784.0</w:t>
            </w:r>
          </w:p>
        </w:tc>
        <w:tc>
          <w:tcPr>
            <w:tcW w:w="28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31.8</w:t>
            </w:r>
          </w:p>
        </w:tc>
        <w:tc>
          <w:tcPr>
            <w:tcW w:w="16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108.4</w:t>
            </w:r>
          </w:p>
        </w:tc>
        <w:tc>
          <w:tcPr>
            <w:tcW w:w="260" w:type="dxa"/>
            <w:vAlign w:val="bottom"/>
            <w:shd w:val="clear" w:color="auto" w:fill="E1E1E1"/>
          </w:tcPr>
          <w:p>
            <w:pPr>
              <w:spacing w:after="0"/>
              <w:rPr>
                <w:sz w:val="21"/>
                <w:szCs w:val="21"/>
                <w:color w:val="auto"/>
              </w:rPr>
            </w:pPr>
          </w:p>
        </w:tc>
        <w:tc>
          <w:tcPr>
            <w:tcW w:w="18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1,359.5</w:t>
            </w:r>
          </w:p>
        </w:tc>
        <w:tc>
          <w:tcPr>
            <w:tcW w:w="80" w:type="dxa"/>
            <w:vAlign w:val="bottom"/>
            <w:shd w:val="clear" w:color="auto" w:fill="E1E1E1"/>
          </w:tcPr>
          <w:p>
            <w:pPr>
              <w:spacing w:after="0"/>
              <w:rPr>
                <w:sz w:val="21"/>
                <w:szCs w:val="21"/>
                <w:color w:val="auto"/>
              </w:rPr>
            </w:pPr>
          </w:p>
        </w:tc>
      </w:tr>
      <w:tr>
        <w:trPr>
          <w:trHeight w:val="244"/>
        </w:trPr>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Net income attributable to common stockholders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767.1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1,341.9</w:t>
            </w:r>
          </w:p>
        </w:tc>
        <w:tc>
          <w:tcPr>
            <w:tcW w:w="80" w:type="dxa"/>
            <w:vAlign w:val="bottom"/>
          </w:tcPr>
          <w:p>
            <w:pPr>
              <w:spacing w:after="0"/>
              <w:rPr>
                <w:sz w:val="21"/>
                <w:szCs w:val="21"/>
                <w:color w:val="auto"/>
              </w:rPr>
            </w:pPr>
          </w:p>
        </w:tc>
      </w:tr>
      <w:tr>
        <w:trPr>
          <w:trHeight w:val="244"/>
        </w:trPr>
        <w:tc>
          <w:tcPr>
            <w:tcW w:w="61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Basic earnings (loss) from continuing operations per share</w:t>
            </w:r>
          </w:p>
        </w:tc>
        <w:tc>
          <w:tcPr>
            <w:tcW w:w="1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280" w:type="dxa"/>
            <w:vAlign w:val="bottom"/>
            <w:shd w:val="clear" w:color="auto" w:fill="E1E1E1"/>
          </w:tcPr>
          <w:p>
            <w:pPr>
              <w:spacing w:after="0"/>
              <w:rPr>
                <w:sz w:val="21"/>
                <w:szCs w:val="21"/>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0.07</w:t>
            </w:r>
          </w:p>
        </w:tc>
        <w:tc>
          <w:tcPr>
            <w:tcW w:w="160" w:type="dxa"/>
            <w:vAlign w:val="bottom"/>
            <w:shd w:val="clear" w:color="auto" w:fill="E1E1E1"/>
          </w:tcPr>
          <w:p>
            <w:pPr>
              <w:spacing w:after="0"/>
              <w:rPr>
                <w:sz w:val="21"/>
                <w:szCs w:val="21"/>
                <w:color w:val="auto"/>
              </w:rPr>
            </w:pPr>
          </w:p>
        </w:tc>
        <w:tc>
          <w:tcPr>
            <w:tcW w:w="2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(0.07)</w:t>
            </w: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(0.31)</w:t>
            </w:r>
          </w:p>
        </w:tc>
      </w:tr>
      <w:tr>
        <w:trPr>
          <w:trHeight w:val="268"/>
        </w:trPr>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Diluted earnings (loss) from continuing operations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w:t>
            </w:r>
          </w:p>
        </w:tc>
        <w:tc>
          <w:tcPr>
            <w:tcW w:w="2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0.07</w:t>
            </w:r>
          </w:p>
        </w:tc>
        <w:tc>
          <w:tcPr>
            <w:tcW w:w="16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(0.07)</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(0.31)</w:t>
            </w:r>
          </w:p>
        </w:tc>
      </w:tr>
      <w:tr>
        <w:trPr>
          <w:trHeight w:val="398"/>
        </w:trPr>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1E1E1E"/>
              </w:rPr>
              <w:t>First</w:t>
            </w:r>
          </w:p>
        </w:tc>
        <w:tc>
          <w:tcPr>
            <w:tcW w:w="12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rPr>
              <w:t>Second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1E1E1E"/>
                <w:w w:val="99"/>
              </w:rPr>
              <w:t>Third</w:t>
            </w:r>
          </w:p>
        </w:tc>
        <w:tc>
          <w:tcPr>
            <w:tcW w:w="18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w w:val="99"/>
              </w:rPr>
              <w:t>Fourth</w:t>
            </w:r>
          </w:p>
        </w:tc>
      </w:tr>
      <w:tr>
        <w:trPr>
          <w:trHeight w:val="184"/>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1E1E1E"/>
                <w:w w:val="99"/>
              </w:rPr>
              <w:t>Quarter</w:t>
            </w:r>
          </w:p>
        </w:tc>
        <w:tc>
          <w:tcPr>
            <w:tcW w:w="12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Quarter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1E1E1E"/>
                <w:w w:val="99"/>
              </w:rPr>
              <w:t>Quarter</w:t>
            </w: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w w:val="99"/>
              </w:rPr>
              <w:t>Quarter</w:t>
            </w:r>
          </w:p>
        </w:tc>
      </w:tr>
      <w:tr>
        <w:trPr>
          <w:trHeight w:val="204"/>
        </w:trPr>
        <w:tc>
          <w:tcPr>
            <w:tcW w:w="6120" w:type="dxa"/>
            <w:vAlign w:val="bottom"/>
            <w:tcBorders>
              <w:bottom w:val="single" w:sz="8" w:color="E1E1E1"/>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280" w:type="dxa"/>
            <w:vAlign w:val="bottom"/>
            <w:tcBorders>
              <w:bottom w:val="single" w:sz="8" w:color="E1E1E1"/>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720" w:type="dxa"/>
            <w:vAlign w:val="bottom"/>
            <w:tcBorders>
              <w:bottom w:val="single" w:sz="8" w:color="1E1E1E"/>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160" w:type="dxa"/>
            <w:vAlign w:val="bottom"/>
            <w:tcBorders>
              <w:bottom w:val="single" w:sz="8" w:color="E1E1E1"/>
            </w:tcBorders>
          </w:tcPr>
          <w:p>
            <w:pPr>
              <w:spacing w:after="0"/>
              <w:rPr>
                <w:sz w:val="17"/>
                <w:szCs w:val="17"/>
                <w:color w:val="auto"/>
              </w:rPr>
            </w:pPr>
          </w:p>
        </w:tc>
        <w:tc>
          <w:tcPr>
            <w:tcW w:w="100" w:type="dxa"/>
            <w:vAlign w:val="bottom"/>
            <w:tcBorders>
              <w:bottom w:val="single" w:sz="8" w:color="E1E1E1"/>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260" w:type="dxa"/>
            <w:vAlign w:val="bottom"/>
            <w:tcBorders>
              <w:bottom w:val="single" w:sz="8" w:color="E1E1E1"/>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80" w:type="dxa"/>
            <w:vAlign w:val="bottom"/>
            <w:tcBorders>
              <w:bottom w:val="single" w:sz="8" w:color="E1E1E1"/>
            </w:tcBorders>
          </w:tcPr>
          <w:p>
            <w:pPr>
              <w:spacing w:after="0"/>
              <w:rPr>
                <w:sz w:val="17"/>
                <w:szCs w:val="17"/>
                <w:color w:val="auto"/>
              </w:rPr>
            </w:pPr>
          </w:p>
        </w:tc>
      </w:tr>
      <w:tr>
        <w:trPr>
          <w:trHeight w:val="239"/>
        </w:trPr>
        <w:tc>
          <w:tcPr>
            <w:tcW w:w="61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Net sales</w:t>
            </w:r>
          </w:p>
        </w:tc>
        <w:tc>
          <w:tcPr>
            <w:tcW w:w="1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296.5</w:t>
            </w:r>
          </w:p>
        </w:tc>
        <w:tc>
          <w:tcPr>
            <w:tcW w:w="280" w:type="dxa"/>
            <w:vAlign w:val="bottom"/>
            <w:shd w:val="clear" w:color="auto" w:fill="E1E1E1"/>
          </w:tcPr>
          <w:p>
            <w:pPr>
              <w:spacing w:after="0"/>
              <w:rPr>
                <w:sz w:val="20"/>
                <w:szCs w:val="20"/>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1E1E1"/>
              </w:rPr>
              <w:t>$</w:t>
            </w: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325.2</w:t>
            </w:r>
          </w:p>
        </w:tc>
        <w:tc>
          <w:tcPr>
            <w:tcW w:w="16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1E1E1"/>
              </w:rPr>
              <w:t>$</w:t>
            </w:r>
          </w:p>
        </w:tc>
        <w:tc>
          <w:tcPr>
            <w:tcW w:w="74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shd w:val="clear" w:color="auto" w:fill="E1E1E1"/>
              </w:rPr>
              <w:t>345.7</w:t>
            </w:r>
          </w:p>
        </w:tc>
        <w:tc>
          <w:tcPr>
            <w:tcW w:w="260" w:type="dxa"/>
            <w:vAlign w:val="bottom"/>
            <w:shd w:val="clear" w:color="auto" w:fill="E1E1E1"/>
          </w:tcPr>
          <w:p>
            <w:pPr>
              <w:spacing w:after="0"/>
              <w:rPr>
                <w:sz w:val="20"/>
                <w:szCs w:val="20"/>
                <w:color w:val="auto"/>
              </w:rPr>
            </w:pP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415.2</w:t>
            </w:r>
          </w:p>
        </w:tc>
        <w:tc>
          <w:tcPr>
            <w:tcW w:w="80" w:type="dxa"/>
            <w:vAlign w:val="bottom"/>
            <w:shd w:val="clear" w:color="auto" w:fill="E1E1E1"/>
          </w:tcPr>
          <w:p>
            <w:pPr>
              <w:spacing w:after="0"/>
              <w:rPr>
                <w:sz w:val="20"/>
                <w:szCs w:val="20"/>
                <w:color w:val="auto"/>
              </w:rPr>
            </w:pPr>
          </w:p>
        </w:tc>
      </w:tr>
      <w:tr>
        <w:trPr>
          <w:trHeight w:val="244"/>
        </w:trPr>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Gross profit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118.9</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141.2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168.5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176.5</w:t>
            </w:r>
          </w:p>
        </w:tc>
        <w:tc>
          <w:tcPr>
            <w:tcW w:w="80" w:type="dxa"/>
            <w:vAlign w:val="bottom"/>
          </w:tcPr>
          <w:p>
            <w:pPr>
              <w:spacing w:after="0"/>
              <w:rPr>
                <w:sz w:val="21"/>
                <w:szCs w:val="21"/>
                <w:color w:val="auto"/>
              </w:rPr>
            </w:pPr>
          </w:p>
        </w:tc>
      </w:tr>
      <w:tr>
        <w:trPr>
          <w:trHeight w:val="244"/>
        </w:trPr>
        <w:tc>
          <w:tcPr>
            <w:tcW w:w="61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Operating loss</w:t>
            </w:r>
          </w:p>
        </w:tc>
        <w:tc>
          <w:tcPr>
            <w:tcW w:w="160" w:type="dxa"/>
            <w:vAlign w:val="bottom"/>
            <w:shd w:val="clear" w:color="auto" w:fill="E1E1E1"/>
          </w:tcPr>
          <w:p>
            <w:pPr>
              <w:spacing w:after="0"/>
              <w:rPr>
                <w:sz w:val="21"/>
                <w:szCs w:val="21"/>
                <w:color w:val="auto"/>
              </w:rPr>
            </w:pPr>
          </w:p>
        </w:tc>
        <w:tc>
          <w:tcPr>
            <w:tcW w:w="114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(128.0)</w:t>
            </w:r>
          </w:p>
        </w:tc>
        <w:tc>
          <w:tcPr>
            <w:tcW w:w="120" w:type="dxa"/>
            <w:vAlign w:val="bottom"/>
            <w:shd w:val="clear" w:color="auto" w:fill="E1E1E1"/>
          </w:tcPr>
          <w:p>
            <w:pPr>
              <w:spacing w:after="0"/>
              <w:rPr>
                <w:sz w:val="21"/>
                <w:szCs w:val="21"/>
                <w:color w:val="auto"/>
              </w:rPr>
            </w:pPr>
          </w:p>
        </w:tc>
        <w:tc>
          <w:tcPr>
            <w:tcW w:w="88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(57.1)</w:t>
            </w:r>
          </w:p>
        </w:tc>
        <w:tc>
          <w:tcPr>
            <w:tcW w:w="1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(59.0)</w:t>
            </w:r>
          </w:p>
        </w:tc>
        <w:tc>
          <w:tcPr>
            <w:tcW w:w="180" w:type="dxa"/>
            <w:vAlign w:val="bottom"/>
            <w:shd w:val="clear" w:color="auto" w:fill="E1E1E1"/>
          </w:tcPr>
          <w:p>
            <w:pPr>
              <w:spacing w:after="0"/>
              <w:rPr>
                <w:sz w:val="21"/>
                <w:szCs w:val="21"/>
                <w:color w:val="auto"/>
              </w:rPr>
            </w:pPr>
          </w:p>
        </w:tc>
        <w:tc>
          <w:tcPr>
            <w:tcW w:w="9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(47.6)</w:t>
            </w:r>
          </w:p>
        </w:tc>
      </w:tr>
      <w:tr>
        <w:trPr>
          <w:trHeight w:val="244"/>
        </w:trPr>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Loss from continuing operations</w:t>
            </w:r>
          </w:p>
        </w:tc>
        <w:tc>
          <w:tcPr>
            <w:tcW w:w="1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(63.7)</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(74.2)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(47.1)</w:t>
            </w:r>
          </w:p>
        </w:tc>
        <w:tc>
          <w:tcPr>
            <w:tcW w:w="1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(21.0)</w:t>
            </w:r>
          </w:p>
        </w:tc>
      </w:tr>
      <w:tr>
        <w:trPr>
          <w:trHeight w:val="244"/>
        </w:trPr>
        <w:tc>
          <w:tcPr>
            <w:tcW w:w="61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Net income (loss)</w:t>
            </w:r>
          </w:p>
        </w:tc>
        <w:tc>
          <w:tcPr>
            <w:tcW w:w="160" w:type="dxa"/>
            <w:vAlign w:val="bottom"/>
            <w:shd w:val="clear" w:color="auto" w:fill="E1E1E1"/>
          </w:tcPr>
          <w:p>
            <w:pPr>
              <w:spacing w:after="0"/>
              <w:rPr>
                <w:sz w:val="21"/>
                <w:szCs w:val="21"/>
                <w:color w:val="auto"/>
              </w:rPr>
            </w:pPr>
          </w:p>
        </w:tc>
        <w:tc>
          <w:tcPr>
            <w:tcW w:w="114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(333.7)</w:t>
            </w:r>
          </w:p>
        </w:tc>
        <w:tc>
          <w:tcPr>
            <w:tcW w:w="120" w:type="dxa"/>
            <w:vAlign w:val="bottom"/>
            <w:shd w:val="clear" w:color="auto" w:fill="E1E1E1"/>
          </w:tcPr>
          <w:p>
            <w:pPr>
              <w:spacing w:after="0"/>
              <w:rPr>
                <w:sz w:val="21"/>
                <w:szCs w:val="21"/>
                <w:color w:val="auto"/>
              </w:rPr>
            </w:pPr>
          </w:p>
        </w:tc>
        <w:tc>
          <w:tcPr>
            <w:tcW w:w="7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44.4</w:t>
            </w:r>
          </w:p>
        </w:tc>
        <w:tc>
          <w:tcPr>
            <w:tcW w:w="16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120" w:type="dxa"/>
            <w:vAlign w:val="bottom"/>
            <w:shd w:val="clear" w:color="auto" w:fill="E1E1E1"/>
          </w:tcPr>
          <w:p>
            <w:pPr>
              <w:spacing w:after="0"/>
              <w:rPr>
                <w:sz w:val="21"/>
                <w:szCs w:val="21"/>
                <w:color w:val="auto"/>
              </w:rPr>
            </w:pPr>
          </w:p>
        </w:tc>
        <w:tc>
          <w:tcPr>
            <w:tcW w:w="100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(33.0)</w:t>
            </w:r>
          </w:p>
        </w:tc>
        <w:tc>
          <w:tcPr>
            <w:tcW w:w="180" w:type="dxa"/>
            <w:vAlign w:val="bottom"/>
            <w:shd w:val="clear" w:color="auto" w:fill="E1E1E1"/>
          </w:tcPr>
          <w:p>
            <w:pPr>
              <w:spacing w:after="0"/>
              <w:rPr>
                <w:sz w:val="21"/>
                <w:szCs w:val="21"/>
                <w:color w:val="auto"/>
              </w:rPr>
            </w:pPr>
          </w:p>
        </w:tc>
        <w:tc>
          <w:tcPr>
            <w:tcW w:w="90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80" w:type="dxa"/>
            <w:vAlign w:val="bottom"/>
            <w:shd w:val="clear" w:color="auto" w:fill="E1E1E1"/>
          </w:tcPr>
          <w:p>
            <w:pPr>
              <w:spacing w:after="0"/>
              <w:rPr>
                <w:sz w:val="21"/>
                <w:szCs w:val="21"/>
                <w:color w:val="auto"/>
              </w:rPr>
            </w:pPr>
          </w:p>
        </w:tc>
      </w:tr>
      <w:tr>
        <w:trPr>
          <w:trHeight w:val="244"/>
        </w:trPr>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Net income (loss) attributable to common stockholders</w:t>
            </w:r>
          </w:p>
        </w:tc>
        <w:tc>
          <w:tcPr>
            <w:tcW w:w="1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(349.7)</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(49.4)</w:t>
            </w:r>
          </w:p>
        </w:tc>
        <w:tc>
          <w:tcPr>
            <w:tcW w:w="1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(9.8)</w:t>
            </w:r>
          </w:p>
        </w:tc>
      </w:tr>
      <w:tr>
        <w:trPr>
          <w:trHeight w:val="244"/>
        </w:trPr>
        <w:tc>
          <w:tcPr>
            <w:tcW w:w="6120" w:type="dxa"/>
            <w:vAlign w:val="bottom"/>
            <w:shd w:val="clear" w:color="auto" w:fill="E1E1E1"/>
          </w:tcPr>
          <w:p>
            <w:pPr>
              <w:ind w:left="100"/>
              <w:spacing w:after="0"/>
              <w:rPr>
                <w:sz w:val="20"/>
                <w:szCs w:val="20"/>
                <w:color w:val="auto"/>
              </w:rPr>
            </w:pPr>
            <w:r>
              <w:rPr>
                <w:rFonts w:ascii="Times New Roman" w:cs="Times New Roman" w:eastAsia="Times New Roman" w:hAnsi="Times New Roman"/>
                <w:sz w:val="20"/>
                <w:szCs w:val="20"/>
                <w:color w:val="1E1E1E"/>
              </w:rPr>
              <w:t>Basic loss from continuing operations per share</w:t>
            </w:r>
          </w:p>
        </w:tc>
        <w:tc>
          <w:tcPr>
            <w:tcW w:w="16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(0.38)</w:t>
            </w:r>
          </w:p>
        </w:tc>
        <w:tc>
          <w:tcPr>
            <w:tcW w:w="12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gridSpan w:val="2"/>
            <w:shd w:val="clear" w:color="auto" w:fill="E1E1E1"/>
          </w:tcPr>
          <w:p>
            <w:pPr>
              <w:jc w:val="right"/>
              <w:ind w:right="100"/>
              <w:spacing w:after="0"/>
              <w:rPr>
                <w:sz w:val="20"/>
                <w:szCs w:val="20"/>
                <w:color w:val="auto"/>
              </w:rPr>
            </w:pPr>
            <w:r>
              <w:rPr>
                <w:rFonts w:ascii="Times New Roman" w:cs="Times New Roman" w:eastAsia="Times New Roman" w:hAnsi="Times New Roman"/>
                <w:sz w:val="20"/>
                <w:szCs w:val="20"/>
                <w:color w:val="1E1E1E"/>
              </w:rPr>
              <w:t>(0.42)</w:t>
            </w:r>
          </w:p>
        </w:tc>
        <w:tc>
          <w:tcPr>
            <w:tcW w:w="220" w:type="dxa"/>
            <w:vAlign w:val="bottom"/>
            <w:gridSpan w:val="2"/>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gridSpan w:val="2"/>
            <w:shd w:val="clear" w:color="auto" w:fill="E1E1E1"/>
          </w:tcPr>
          <w:p>
            <w:pPr>
              <w:jc w:val="right"/>
              <w:ind w:right="200"/>
              <w:spacing w:after="0"/>
              <w:rPr>
                <w:sz w:val="20"/>
                <w:szCs w:val="20"/>
                <w:color w:val="auto"/>
              </w:rPr>
            </w:pPr>
            <w:r>
              <w:rPr>
                <w:rFonts w:ascii="Times New Roman" w:cs="Times New Roman" w:eastAsia="Times New Roman" w:hAnsi="Times New Roman"/>
                <w:sz w:val="20"/>
                <w:szCs w:val="20"/>
                <w:color w:val="1E1E1E"/>
              </w:rPr>
              <w:t>(0.29)</w:t>
            </w:r>
          </w:p>
        </w:tc>
        <w:tc>
          <w:tcPr>
            <w:tcW w:w="180" w:type="dxa"/>
            <w:vAlign w:val="bottom"/>
            <w:shd w:val="clear" w:color="auto" w:fill="E1E1E1"/>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gridSpan w:val="2"/>
            <w:shd w:val="clear" w:color="auto" w:fill="E1E1E1"/>
          </w:tcPr>
          <w:p>
            <w:pPr>
              <w:jc w:val="right"/>
              <w:ind w:right="20"/>
              <w:spacing w:after="0"/>
              <w:rPr>
                <w:sz w:val="20"/>
                <w:szCs w:val="20"/>
                <w:color w:val="auto"/>
              </w:rPr>
            </w:pPr>
            <w:r>
              <w:rPr>
                <w:rFonts w:ascii="Times New Roman" w:cs="Times New Roman" w:eastAsia="Times New Roman" w:hAnsi="Times New Roman"/>
                <w:sz w:val="20"/>
                <w:szCs w:val="20"/>
                <w:color w:val="1E1E1E"/>
              </w:rPr>
              <w:t>(0.17)</w:t>
            </w:r>
          </w:p>
        </w:tc>
      </w:tr>
      <w:tr>
        <w:trPr>
          <w:trHeight w:val="268"/>
        </w:trPr>
        <w:tc>
          <w:tcPr>
            <w:tcW w:w="612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Diluted loss from continuing operations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(0.38)</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(0.42)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(0.29)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(0.17)</w:t>
            </w:r>
          </w:p>
        </w:tc>
      </w:tr>
    </w:tbl>
    <w:p>
      <w:pPr>
        <w:spacing w:after="0" w:line="200" w:lineRule="exact"/>
        <w:rPr>
          <w:sz w:val="20"/>
          <w:szCs w:val="20"/>
          <w:color w:val="auto"/>
        </w:rPr>
      </w:pPr>
    </w:p>
    <w:p>
      <w:pPr>
        <w:spacing w:after="0" w:line="341" w:lineRule="exact"/>
        <w:rPr>
          <w:sz w:val="20"/>
          <w:szCs w:val="20"/>
          <w:color w:val="auto"/>
        </w:rPr>
      </w:pPr>
    </w:p>
    <w:p>
      <w:pPr>
        <w:ind w:left="460" w:hanging="460"/>
        <w:spacing w:after="0"/>
        <w:tabs>
          <w:tab w:leader="none" w:pos="460" w:val="left"/>
        </w:tabs>
        <w:numPr>
          <w:ilvl w:val="0"/>
          <w:numId w:val="7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SUBSEQUENT EVENTS</w:t>
      </w:r>
    </w:p>
    <w:p>
      <w:pPr>
        <w:spacing w:after="0" w:line="12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color w:val="1E1E1E"/>
        </w:rPr>
        <w:t>On January 9, 2026, the Company completed the previously announced sale of its CCS segment to Amphenol pursuant to the Purchase Agreement, dated as of August 3, 2025, in which Amphenol acquired the CCS segment on a cash-free, debt-free basis, in exchange for approximately $10.5 billion in cash, subject to certain adjustments.</w:t>
      </w:r>
    </w:p>
    <w:p>
      <w:pPr>
        <w:spacing w:after="0" w:line="1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In connection with the transaction, on the closing date, the Company repaid in full all outstanding indebtedness using a portion of the proceeds from the transaction and terminated all outstanding commitments under each of its Revolving Credit Agreement dated as of April 4, 2019, which provided for the Revolving Credit Facility in an aggregate principal amount of up to $750.0 million, and Term Loan Credit Agreement dated as of December 17, 2024, which provided for the 2029 Term Loan in an aggregate outstanding principal amount of $3,150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 connection with the transaction, on the closing date, the Company satisfied and discharged the indentures governing the (1)</w:t>
      </w:r>
    </w:p>
    <w:p>
      <w:pPr>
        <w:ind w:right="200"/>
        <w:spacing w:after="0" w:line="247" w:lineRule="auto"/>
        <w:rPr>
          <w:sz w:val="20"/>
          <w:szCs w:val="20"/>
          <w:color w:val="auto"/>
        </w:rPr>
      </w:pPr>
      <w:r>
        <w:rPr>
          <w:rFonts w:ascii="Times New Roman" w:cs="Times New Roman" w:eastAsia="Times New Roman" w:hAnsi="Times New Roman"/>
          <w:sz w:val="20"/>
          <w:szCs w:val="20"/>
          <w:color w:val="1E1E1E"/>
        </w:rPr>
        <w:t>$1,000.0 million in outstanding aggregate principal amount of the 2031 Secured Notes, (2) $951.0 million in outstanding aggregate principal amount of the 2029 Secured Notes, (3) $641.6 million in outstanding aggregate principal amount of the 2028 Notes, (4) $866.9 million in outstanding aggregate principal amount of the 8.25% 2027 Notes and (5) $750.0 million in outstanding aggregate principal amount of the 5.00% 2027 Notes (Notes). In connection therewith, on the closing date, notices of full redemption were issued to holders of all of the outstanding Notes, calling all outstanding Notes for redemption on January 26, 2026 using a portion of the proceeds from the transaction, and all outstanding Notes were redeemed on that date.</w:t>
      </w:r>
    </w:p>
    <w:p>
      <w:pPr>
        <w:sectPr>
          <w:pgSz w:w="11880" w:h="15480" w:orient="portrait"/>
          <w:cols w:equalWidth="0" w:num="1">
            <w:col w:w="10800"/>
          </w:cols>
          <w:pgMar w:left="540" w:top="51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100</w:t>
      </w:r>
    </w:p>
    <w:p>
      <w:pPr>
        <w:sectPr>
          <w:pgSz w:w="11880" w:h="15480" w:orient="portrait"/>
          <w:cols w:equalWidth="0" w:num="1">
            <w:col w:w="10800"/>
          </w:cols>
          <w:pgMar w:left="540" w:top="515" w:right="540" w:bottom="0" w:gutter="0" w:footer="0" w:header="0"/>
          <w:type w:val="continuous"/>
        </w:sectPr>
      </w:pPr>
    </w:p>
    <w:bookmarkStart w:id="110" w:name="page111"/>
    <w:bookmarkEnd w:id="110"/>
    <w:p>
      <w:pPr>
        <w:jc w:val="center"/>
        <w:ind w:right="-779"/>
        <w:spacing w:after="0"/>
        <w:rPr>
          <w:sz w:val="20"/>
          <w:szCs w:val="20"/>
          <w:color w:val="auto"/>
        </w:rPr>
      </w:pPr>
      <w:r>
        <w:rPr>
          <w:rFonts w:ascii="Times New Roman" w:cs="Times New Roman" w:eastAsia="Times New Roman" w:hAnsi="Times New Roman"/>
          <w:sz w:val="20"/>
          <w:szCs w:val="20"/>
          <w:b w:val="1"/>
          <w:bCs w:val="1"/>
          <w:color w:val="1E1E1E"/>
        </w:rPr>
        <w:t>Vistance Networks, Inc.</w:t>
      </w:r>
    </w:p>
    <w:p>
      <w:pPr>
        <w:jc w:val="center"/>
        <w:ind w:right="-77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Statements-(Continued)</w:t>
      </w:r>
    </w:p>
    <w:p>
      <w:pPr>
        <w:jc w:val="center"/>
        <w:ind w:right="-779"/>
        <w:spacing w:after="0"/>
        <w:rPr>
          <w:sz w:val="20"/>
          <w:szCs w:val="20"/>
          <w:color w:val="auto"/>
        </w:rPr>
      </w:pPr>
      <w:r>
        <w:rPr>
          <w:rFonts w:ascii="Times New Roman" w:cs="Times New Roman" w:eastAsia="Times New Roman" w:hAnsi="Times New Roman"/>
          <w:sz w:val="20"/>
          <w:szCs w:val="20"/>
          <w:b w:val="1"/>
          <w:bCs w:val="1"/>
          <w:color w:val="1E1E1E"/>
        </w:rPr>
        <w:t>(In millions, unless otherwise noted)</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In connection with the transaction, on the closing date, 100% of the Convertible Preferred Stock was redeemed by the Company for cash in accordance with the terms of the Certificate of Designations. Simultaneously with the consummation of the redemption, the Investment Agreement, dated as of November 8, 2018, by and among the Company and Carlyle pursuant to which such Convertible Preferred Stock was initially purchased, and all rights and obligations of the parties under the Investment Agreement, were terminated.</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1E1E1E"/>
        </w:rPr>
        <w:t>On January 13, 2026, the Company filed with the Secretary of State of the State of Delaware a Second Amended and Restated Certificate of Incorporation to change the Company’s corporate name from CommScope Holding Company, Inc. to Vistance Networks, Inc., effective January 14, 2026. The Company’s common stock will continue to trade on the NASDAQ Stock Market, but effective as of January 14, 2026, it is trading under the ticker symbol “VISN”.</w:t>
      </w:r>
    </w:p>
    <w:p>
      <w:pPr>
        <w:sectPr>
          <w:pgSz w:w="11880" w:h="15480" w:orient="portrait"/>
          <w:cols w:equalWidth="0" w:num="1">
            <w:col w:w="10020"/>
          </w:cols>
          <w:pgMar w:left="540" w:top="515"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1E1E1E"/>
        </w:rPr>
        <w:t>101</w:t>
      </w:r>
    </w:p>
    <w:p>
      <w:pPr>
        <w:sectPr>
          <w:pgSz w:w="11880" w:h="15480" w:orient="portrait"/>
          <w:cols w:equalWidth="0" w:num="1">
            <w:col w:w="10020"/>
          </w:cols>
          <w:pgMar w:left="540" w:top="515" w:right="1320" w:bottom="0" w:gutter="0" w:footer="0" w:header="0"/>
          <w:type w:val="continuous"/>
        </w:sectPr>
      </w:pPr>
    </w:p>
    <w:bookmarkStart w:id="111" w:name="page112"/>
    <w:bookmarkEnd w:id="111"/>
    <w:p>
      <w:pPr>
        <w:ind w:right="800"/>
        <w:spacing w:after="0" w:line="287" w:lineRule="auto"/>
        <w:rPr>
          <w:sz w:val="20"/>
          <w:szCs w:val="20"/>
          <w:color w:val="auto"/>
        </w:rPr>
      </w:pPr>
      <w:r>
        <w:rPr>
          <w:rFonts w:ascii="Times New Roman" w:cs="Times New Roman" w:eastAsia="Times New Roman" w:hAnsi="Times New Roman"/>
          <w:sz w:val="20"/>
          <w:szCs w:val="20"/>
          <w:b w:val="1"/>
          <w:bCs w:val="1"/>
          <w:color w:val="1E1E1E"/>
        </w:rPr>
        <w:t>ITEM 9. CHANGES IN AND DISAGREEMENTS WITH ACCOUNTANTS ON ACCOUNTING AND FINANCIAL DISCLOSURE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Not applicable.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Evaluation of Disclosure Controls and Procedures</w:t>
      </w:r>
    </w:p>
    <w:p>
      <w:pPr>
        <w:spacing w:after="0" w:line="12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1E1E1E"/>
        </w:rPr>
        <w:t>Our management, with the participation of the Chief Executive Officer (CEO) and Chief Financial Officer (CFO), evaluated the effectiveness of our disclosure controls and procedures (as defined in Rules 13a-15(e) and 15d-15(e) under the Securities Exchange Act of 1934, as amended (the Exchange Act)) as of the end of the period covered by this report.</w:t>
      </w:r>
    </w:p>
    <w:p>
      <w:pPr>
        <w:spacing w:after="0" w:line="18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Based on this evaluation, our CEO and CFO have concluded that, as of the end of the period covered by this report, these disclosure controls and procedures were effective and operating to provide reasonable assurance that information that we are required to disclose in the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CEO and CFO, as appropriate, to allow timely decisions regarding required disclosure.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Management’s Report on Internal Control over Financial Reporting</w:t>
      </w:r>
    </w:p>
    <w:p>
      <w:pPr>
        <w:spacing w:after="0" w:line="12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Our management is responsible for establishing and maintaining adequate internal control over financial reporting. Internal control over financial reporting is defined in Rule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and includes those policies and procedures that:</w:t>
      </w:r>
    </w:p>
    <w:p>
      <w:pPr>
        <w:spacing w:after="0" w:line="94" w:lineRule="exact"/>
        <w:rPr>
          <w:sz w:val="20"/>
          <w:szCs w:val="20"/>
          <w:color w:val="auto"/>
        </w:rPr>
      </w:pPr>
    </w:p>
    <w:p>
      <w:pPr>
        <w:ind w:left="980" w:right="980" w:hanging="490"/>
        <w:spacing w:after="0" w:line="278" w:lineRule="auto"/>
        <w:tabs>
          <w:tab w:leader="none" w:pos="980" w:val="left"/>
        </w:tabs>
        <w:numPr>
          <w:ilvl w:val="0"/>
          <w:numId w:val="76"/>
        </w:numPr>
        <w:rPr>
          <w:rFonts w:ascii="Arial" w:cs="Arial" w:eastAsia="Arial" w:hAnsi="Arial"/>
          <w:sz w:val="20"/>
          <w:szCs w:val="20"/>
          <w:color w:val="1E1E1E"/>
        </w:rPr>
      </w:pPr>
      <w:r>
        <w:rPr>
          <w:rFonts w:ascii="Times New Roman" w:cs="Times New Roman" w:eastAsia="Times New Roman" w:hAnsi="Times New Roman"/>
          <w:sz w:val="20"/>
          <w:szCs w:val="20"/>
          <w:color w:val="1E1E1E"/>
        </w:rPr>
        <w:t>Pertain to the maintenance of records that in reasonable detail accurately and fairly reflect the transactions and dispositions of the assets of the company;</w:t>
      </w:r>
    </w:p>
    <w:p>
      <w:pPr>
        <w:spacing w:after="0" w:line="60" w:lineRule="exact"/>
        <w:rPr>
          <w:rFonts w:ascii="Arial" w:cs="Arial" w:eastAsia="Arial" w:hAnsi="Arial"/>
          <w:sz w:val="20"/>
          <w:szCs w:val="20"/>
          <w:color w:val="1E1E1E"/>
        </w:rPr>
      </w:pPr>
    </w:p>
    <w:p>
      <w:pPr>
        <w:ind w:left="980" w:right="260" w:hanging="490"/>
        <w:spacing w:after="0" w:line="259" w:lineRule="auto"/>
        <w:tabs>
          <w:tab w:leader="none" w:pos="980" w:val="left"/>
        </w:tabs>
        <w:numPr>
          <w:ilvl w:val="0"/>
          <w:numId w:val="76"/>
        </w:numPr>
        <w:rPr>
          <w:rFonts w:ascii="Arial" w:cs="Arial" w:eastAsia="Arial" w:hAnsi="Arial"/>
          <w:sz w:val="20"/>
          <w:szCs w:val="20"/>
          <w:color w:val="1E1E1E"/>
        </w:rPr>
      </w:pPr>
      <w:r>
        <w:rPr>
          <w:rFonts w:ascii="Times New Roman" w:cs="Times New Roman" w:eastAsia="Times New Roman" w:hAnsi="Times New Roman"/>
          <w:sz w:val="20"/>
          <w:szCs w:val="20"/>
          <w:color w:val="1E1E1E"/>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78" w:lineRule="exact"/>
        <w:rPr>
          <w:rFonts w:ascii="Arial" w:cs="Arial" w:eastAsia="Arial" w:hAnsi="Arial"/>
          <w:sz w:val="20"/>
          <w:szCs w:val="20"/>
          <w:color w:val="1E1E1E"/>
        </w:rPr>
      </w:pPr>
    </w:p>
    <w:p>
      <w:pPr>
        <w:ind w:left="980" w:right="220" w:hanging="490"/>
        <w:spacing w:after="0" w:line="278" w:lineRule="auto"/>
        <w:tabs>
          <w:tab w:leader="none" w:pos="980" w:val="left"/>
        </w:tabs>
        <w:numPr>
          <w:ilvl w:val="0"/>
          <w:numId w:val="76"/>
        </w:numPr>
        <w:rPr>
          <w:rFonts w:ascii="Arial" w:cs="Arial" w:eastAsia="Arial" w:hAnsi="Arial"/>
          <w:sz w:val="20"/>
          <w:szCs w:val="20"/>
          <w:color w:val="1E1E1E"/>
        </w:rPr>
      </w:pPr>
      <w:r>
        <w:rPr>
          <w:rFonts w:ascii="Times New Roman" w:cs="Times New Roman" w:eastAsia="Times New Roman" w:hAnsi="Times New Roman"/>
          <w:sz w:val="20"/>
          <w:szCs w:val="20"/>
          <w:color w:val="1E1E1E"/>
        </w:rPr>
        <w:t>Provide reasonable assurance regarding prevention or timely detection of unauthorized acquisition, use or disposition of the company’s assets that could have a material effect on the consolidated financial statements.</w:t>
      </w:r>
    </w:p>
    <w:p>
      <w:pPr>
        <w:spacing w:after="0" w:line="166"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20"/>
          <w:szCs w:val="20"/>
          <w:color w:val="1E1E1E"/>
        </w:rPr>
        <w:t>Our management assessed the effectiveness of our internal control over financial reporting as of December 31, 2025. In making this assessment, our management used the criteria set forth by the Committee of Sponsoring Organizations of the Treadway Commission (COSO) in Internal Control – Integrated Framework (2013). Based on this assessment, management concluded that, as of December 31, 2025, our internal control over financial reporting is effective based on the COSO internal control criteria.</w:t>
      </w:r>
    </w:p>
    <w:p>
      <w:pPr>
        <w:spacing w:after="0" w:line="190"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20"/>
          <w:szCs w:val="20"/>
          <w:color w:val="1E1E1E"/>
        </w:rPr>
        <w:t>Our independent registered public accounting firm, Ernst &amp; Young LLP, has issued an attestation report on the effectiveness of our internal control over financial reporting, which is included in Item 8 of this Annual Report on Form 10-K.</w:t>
      </w:r>
    </w:p>
    <w:p>
      <w:pPr>
        <w:sectPr>
          <w:pgSz w:w="11880" w:h="15480" w:orient="portrait"/>
          <w:cols w:equalWidth="0" w:num="1">
            <w:col w:w="10800"/>
          </w:cols>
          <w:pgMar w:left="540" w:top="123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102</w:t>
      </w:r>
    </w:p>
    <w:p>
      <w:pPr>
        <w:sectPr>
          <w:pgSz w:w="11880" w:h="15480" w:orient="portrait"/>
          <w:cols w:equalWidth="0" w:num="1">
            <w:col w:w="10800"/>
          </w:cols>
          <w:pgMar w:left="540" w:top="1235" w:right="54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color w:val="1E1E1E"/>
        </w:rPr>
        <w:t>Changes in Internal Control over Financial Reporting</w:t>
      </w:r>
    </w:p>
    <w:p>
      <w:pPr>
        <w:spacing w:after="0" w:line="123"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9"/>
          <w:szCs w:val="19"/>
          <w:color w:val="1E1E1E"/>
        </w:rPr>
        <w:t>There have been no changes in the Company’s internal controls over financial reporting during the quarter ended December 31, 2025 that have materially affected, or are reasonably likely to materially affect, the Company’s internal control over financial reporting.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Inherent Limitations of Disclosure Controls and Internal Control over Financial Reporting</w:t>
      </w:r>
    </w:p>
    <w:p>
      <w:pPr>
        <w:spacing w:after="0" w:line="12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1E1E1E"/>
        </w:rPr>
        <w:t>Because of their inherent limitations, our disclosure controls and procedures and our internal control over financial reporting may not prevent all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9B. OTHER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Insider Trading Arrangements</w:t>
      </w:r>
    </w:p>
    <w:p>
      <w:pPr>
        <w:spacing w:after="0" w:line="123"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color w:val="1E1E1E"/>
        </w:rPr>
        <w:t>Our officers and directors did not enter into, modify or terminate any Rule 10b5-1 trading arrangements or non-Rule 10b5-1 trading arrangements (each as defined in Item 408(c) of Regulation S-K) during the quarter ended December 31, 2025.</w:t>
      </w:r>
    </w:p>
    <w:p>
      <w:pPr>
        <w:spacing w:after="0" w:line="282" w:lineRule="exact"/>
        <w:rPr>
          <w:sz w:val="20"/>
          <w:szCs w:val="20"/>
          <w:color w:val="auto"/>
        </w:rPr>
      </w:pPr>
    </w:p>
    <w:p>
      <w:pPr>
        <w:ind w:right="1560"/>
        <w:spacing w:after="0" w:line="408" w:lineRule="auto"/>
        <w:rPr>
          <w:sz w:val="20"/>
          <w:szCs w:val="20"/>
          <w:color w:val="auto"/>
        </w:rPr>
      </w:pPr>
      <w:r>
        <w:rPr>
          <w:rFonts w:ascii="Times New Roman" w:cs="Times New Roman" w:eastAsia="Times New Roman" w:hAnsi="Times New Roman"/>
          <w:sz w:val="20"/>
          <w:szCs w:val="20"/>
          <w:b w:val="1"/>
          <w:bCs w:val="1"/>
          <w:color w:val="1E1E1E"/>
        </w:rPr>
        <w:t xml:space="preserve">ITEM 9C. DISCLOSURE REGARDING FOREIGN JURISDICTIONS THAT PREVENT INSPECTIONS </w:t>
      </w:r>
      <w:r>
        <w:rPr>
          <w:rFonts w:ascii="Times New Roman" w:cs="Times New Roman" w:eastAsia="Times New Roman" w:hAnsi="Times New Roman"/>
          <w:sz w:val="20"/>
          <w:szCs w:val="20"/>
          <w:color w:val="1E1E1E"/>
        </w:rPr>
        <w:t>Not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10. DIRECTORS, EXECUTIVE OFFICERS AND CORPORATE GOVERNANCE</w:t>
      </w:r>
    </w:p>
    <w:p>
      <w:pPr>
        <w:spacing w:after="0" w:line="123"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20"/>
          <w:szCs w:val="20"/>
          <w:color w:val="1E1E1E"/>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Code of Ethics for Principal Executive and Senior Financial and Accounting Officers</w:t>
      </w:r>
    </w:p>
    <w:p>
      <w:pPr>
        <w:spacing w:after="0" w:line="1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 xml:space="preserve">We have adopted the Vistance Networks, Inc. Code of Ethics for Principal Executive and Senior Financial and Accounting Officers (the Senior Officer Code of Ethics), a code of ethics that applies to our Chief Executive Officer, Chief Financial Officer and Chief Accounting Officer. The Senior Officer Code of Ethics is publicly available on our website at </w:t>
      </w:r>
      <w:r>
        <w:rPr>
          <w:rFonts w:ascii="Times New Roman" w:cs="Times New Roman" w:eastAsia="Times New Roman" w:hAnsi="Times New Roman"/>
          <w:sz w:val="20"/>
          <w:szCs w:val="20"/>
          <w:i w:val="1"/>
          <w:iCs w:val="1"/>
          <w:color w:val="1E1E1E"/>
        </w:rPr>
        <w:t>www.vistancenetworks.com</w:t>
      </w:r>
      <w:r>
        <w:rPr>
          <w:rFonts w:ascii="Times New Roman" w:cs="Times New Roman" w:eastAsia="Times New Roman" w:hAnsi="Times New Roman"/>
          <w:sz w:val="20"/>
          <w:szCs w:val="20"/>
          <w:color w:val="1E1E1E"/>
        </w:rPr>
        <w:t>. If we make an amendment to, or grant a waiver from, a provision of the Senior Officer Code of Ethics, we will disclose the nature of such waiver or amendment on our website.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Insider Trading Policy</w:t>
      </w:r>
    </w:p>
    <w:p>
      <w:pPr>
        <w:spacing w:after="0" w:line="123"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1E1E1E"/>
        </w:rPr>
        <w:t>We have an insider trading policy governing the purchase, sale, and/or other dispositions of our securities by our directors, officers and other employees (and certain other persons). We believe these policies and procedures are reasonably designed to promote compliance with insider trading laws, rules and regulations and applicable listing standards. A copy of our insider trading policy is included as Exhibit 19.1 to this Annual Report on Form 10-K.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11. EXECUTIVE COMPENSATION</w:t>
      </w:r>
    </w:p>
    <w:p>
      <w:pPr>
        <w:spacing w:after="0" w:line="123"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20"/>
          <w:szCs w:val="20"/>
          <w:color w:val="1E1E1E"/>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ectPr>
          <w:pgSz w:w="11880" w:h="15480" w:orient="portrait"/>
          <w:cols w:equalWidth="0" w:num="1">
            <w:col w:w="10760"/>
          </w:cols>
          <w:pgMar w:left="540" w:top="1235"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103</w:t>
      </w:r>
    </w:p>
    <w:p>
      <w:pPr>
        <w:sectPr>
          <w:pgSz w:w="11880" w:h="15480" w:orient="portrait"/>
          <w:cols w:equalWidth="0" w:num="1">
            <w:col w:w="10760"/>
          </w:cols>
          <w:pgMar w:left="540" w:top="1235" w:right="580" w:bottom="0" w:gutter="0" w:footer="0" w:header="0"/>
          <w:type w:val="continuous"/>
        </w:sectPr>
      </w:pPr>
    </w:p>
    <w:bookmarkStart w:id="113" w:name="page114"/>
    <w:bookmarkEnd w:id="113"/>
    <w:p>
      <w:pPr>
        <w:ind w:right="420"/>
        <w:spacing w:after="0" w:line="287" w:lineRule="auto"/>
        <w:rPr>
          <w:sz w:val="20"/>
          <w:szCs w:val="20"/>
          <w:color w:val="auto"/>
        </w:rPr>
      </w:pPr>
      <w:r>
        <w:rPr>
          <w:rFonts w:ascii="Times New Roman" w:cs="Times New Roman" w:eastAsia="Times New Roman" w:hAnsi="Times New Roman"/>
          <w:sz w:val="20"/>
          <w:szCs w:val="20"/>
          <w:b w:val="1"/>
          <w:bCs w:val="1"/>
          <w:color w:val="1E1E1E"/>
        </w:rPr>
        <w:t>ITEM 12. SECURITY OWNERSHIP OF CERTAIN BENEFICIAL OWNERS AND MANAGEMENT AND RELATED STOCKHOLDER MATTERS</w:t>
      </w:r>
    </w:p>
    <w:p>
      <w:pPr>
        <w:spacing w:after="0" w:line="33"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20"/>
          <w:szCs w:val="20"/>
          <w:color w:val="1E1E1E"/>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13. CERTAIN RELATIONSHIPS AND RELATED TRANSACTIONS, AND DIRECTOR INDEPENDENCE</w:t>
      </w:r>
    </w:p>
    <w:p>
      <w:pPr>
        <w:spacing w:after="0" w:line="123"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20"/>
          <w:szCs w:val="20"/>
          <w:color w:val="1E1E1E"/>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14. PRINCIPAL ACCOUNTANT FEES AND SERVICES</w:t>
      </w:r>
    </w:p>
    <w:p>
      <w:pPr>
        <w:spacing w:after="0" w:line="123"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20"/>
          <w:szCs w:val="20"/>
          <w:color w:val="1E1E1E"/>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pacing w:after="0" w:line="3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15. EXHIBITS AND FINANCIAL STATEMENT SCHEDULES</w:t>
      </w:r>
    </w:p>
    <w:p>
      <w:pPr>
        <w:spacing w:after="0" w:line="123" w:lineRule="exact"/>
        <w:rPr>
          <w:sz w:val="20"/>
          <w:szCs w:val="20"/>
          <w:color w:val="auto"/>
        </w:rPr>
      </w:pPr>
    </w:p>
    <w:p>
      <w:pPr>
        <w:ind w:left="980" w:hanging="490"/>
        <w:spacing w:after="0"/>
        <w:tabs>
          <w:tab w:leader="none" w:pos="980" w:val="left"/>
        </w:tabs>
        <w:numPr>
          <w:ilvl w:val="0"/>
          <w:numId w:val="7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Documents Filed as Part of this Report:</w:t>
      </w:r>
    </w:p>
    <w:p>
      <w:pPr>
        <w:spacing w:after="0" w:line="123" w:lineRule="exact"/>
        <w:rPr>
          <w:rFonts w:ascii="Times New Roman" w:cs="Times New Roman" w:eastAsia="Times New Roman" w:hAnsi="Times New Roman"/>
          <w:sz w:val="20"/>
          <w:szCs w:val="20"/>
          <w:color w:val="1E1E1E"/>
        </w:rPr>
      </w:pPr>
    </w:p>
    <w:p>
      <w:pPr>
        <w:ind w:left="980" w:hanging="346"/>
        <w:spacing w:after="0"/>
        <w:tabs>
          <w:tab w:leader="none" w:pos="980" w:val="left"/>
        </w:tabs>
        <w:numPr>
          <w:ilvl w:val="1"/>
          <w:numId w:val="7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i w:val="1"/>
          <w:iCs w:val="1"/>
          <w:color w:val="1E1E1E"/>
        </w:rPr>
        <w:t>Audited Consolidated Financial Statements</w:t>
      </w:r>
    </w:p>
    <w:p>
      <w:pPr>
        <w:spacing w:after="0" w:line="116" w:lineRule="exact"/>
        <w:rPr>
          <w:rFonts w:ascii="Times New Roman" w:cs="Times New Roman" w:eastAsia="Times New Roman" w:hAnsi="Times New Roman"/>
          <w:sz w:val="20"/>
          <w:szCs w:val="20"/>
          <w:color w:val="1E1E1E"/>
        </w:rPr>
      </w:pPr>
    </w:p>
    <w:p>
      <w:pPr>
        <w:ind w:left="1000"/>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following consolidated financial statements of Vistance Networks, Inc. are included under Part II, Item 8:</w:t>
      </w:r>
    </w:p>
    <w:p>
      <w:pPr>
        <w:spacing w:after="0" w:line="1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1E1E1E"/>
        </w:rPr>
        <w:t>Reports of Independent Registered Public Accounting Firm</w:t>
      </w:r>
    </w:p>
    <w:p>
      <w:pPr>
        <w:ind w:left="1220"/>
        <w:spacing w:after="0"/>
        <w:rPr>
          <w:sz w:val="20"/>
          <w:szCs w:val="20"/>
          <w:color w:val="auto"/>
        </w:rPr>
      </w:pPr>
      <w:r>
        <w:rPr>
          <w:rFonts w:ascii="Times New Roman" w:cs="Times New Roman" w:eastAsia="Times New Roman" w:hAnsi="Times New Roman"/>
          <w:sz w:val="20"/>
          <w:szCs w:val="20"/>
          <w:color w:val="1E1E1E"/>
        </w:rPr>
        <w:t>Consolidated Statements of Operations for the Years Ended December 31, 2025, 2024 and 2023</w:t>
      </w:r>
    </w:p>
    <w:p>
      <w:pPr>
        <w:ind w:left="1220" w:right="200"/>
        <w:spacing w:after="0"/>
        <w:rPr>
          <w:sz w:val="20"/>
          <w:szCs w:val="20"/>
          <w:color w:val="auto"/>
        </w:rPr>
      </w:pPr>
      <w:r>
        <w:rPr>
          <w:rFonts w:ascii="Times New Roman" w:cs="Times New Roman" w:eastAsia="Times New Roman" w:hAnsi="Times New Roman"/>
          <w:sz w:val="20"/>
          <w:szCs w:val="20"/>
          <w:color w:val="1E1E1E"/>
        </w:rPr>
        <w:t>Consolidated Statements of Comprehensive Income (Loss) for the Years Ended December 31, 2025, 2024 and 2023 Consolidated Balance Sheets as of December 31, 2025 and 2024</w:t>
      </w:r>
    </w:p>
    <w:p>
      <w:pPr>
        <w:ind w:left="1220" w:right="980"/>
        <w:spacing w:after="0" w:line="259" w:lineRule="auto"/>
        <w:rPr>
          <w:sz w:val="20"/>
          <w:szCs w:val="20"/>
          <w:color w:val="auto"/>
        </w:rPr>
      </w:pPr>
      <w:r>
        <w:rPr>
          <w:rFonts w:ascii="Times New Roman" w:cs="Times New Roman" w:eastAsia="Times New Roman" w:hAnsi="Times New Roman"/>
          <w:sz w:val="20"/>
          <w:szCs w:val="20"/>
          <w:color w:val="1E1E1E"/>
        </w:rPr>
        <w:t>Consolidated Statements of Cash Flows for the Years Ended December 31, 2025, 2024 and 2023 Consolidated Statements of Stockholders' Deficit for the Years Ended December 31, 2025, 2024 and 2023 Notes to Consolidated Financial Statements</w:t>
      </w:r>
    </w:p>
    <w:p>
      <w:pPr>
        <w:spacing w:after="0" w:line="69" w:lineRule="exact"/>
        <w:rPr>
          <w:sz w:val="20"/>
          <w:szCs w:val="20"/>
          <w:color w:val="auto"/>
        </w:rPr>
      </w:pPr>
    </w:p>
    <w:p>
      <w:pPr>
        <w:ind w:left="980" w:hanging="346"/>
        <w:spacing w:after="0"/>
        <w:tabs>
          <w:tab w:leader="none" w:pos="980" w:val="left"/>
        </w:tabs>
        <w:numPr>
          <w:ilvl w:val="0"/>
          <w:numId w:val="7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i w:val="1"/>
          <w:iCs w:val="1"/>
          <w:color w:val="1E1E1E"/>
        </w:rPr>
        <w:t>Financial Statement Schedules</w:t>
      </w:r>
    </w:p>
    <w:p>
      <w:pPr>
        <w:spacing w:after="0" w:line="116" w:lineRule="exact"/>
        <w:rPr>
          <w:rFonts w:ascii="Times New Roman" w:cs="Times New Roman" w:eastAsia="Times New Roman" w:hAnsi="Times New Roman"/>
          <w:sz w:val="20"/>
          <w:szCs w:val="20"/>
          <w:color w:val="1E1E1E"/>
        </w:rPr>
      </w:pPr>
    </w:p>
    <w:p>
      <w:pPr>
        <w:ind w:left="1260" w:hanging="270"/>
        <w:spacing w:after="0" w:line="279" w:lineRule="auto"/>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All schedules are omitted because they are not applicable or the required information is shown in the financial statements or notes thereto.</w:t>
      </w:r>
    </w:p>
    <w:p>
      <w:pPr>
        <w:spacing w:after="0" w:line="45" w:lineRule="exact"/>
        <w:rPr>
          <w:rFonts w:ascii="Times New Roman" w:cs="Times New Roman" w:eastAsia="Times New Roman" w:hAnsi="Times New Roman"/>
          <w:sz w:val="20"/>
          <w:szCs w:val="20"/>
          <w:color w:val="1E1E1E"/>
        </w:rPr>
      </w:pPr>
    </w:p>
    <w:p>
      <w:pPr>
        <w:ind w:left="980" w:hanging="346"/>
        <w:spacing w:after="0"/>
        <w:tabs>
          <w:tab w:leader="none" w:pos="980" w:val="left"/>
        </w:tabs>
        <w:numPr>
          <w:ilvl w:val="0"/>
          <w:numId w:val="7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i w:val="1"/>
          <w:iCs w:val="1"/>
          <w:color w:val="1E1E1E"/>
        </w:rPr>
        <w:t xml:space="preserve">List of Exhibits. </w:t>
      </w:r>
      <w:r>
        <w:rPr>
          <w:rFonts w:ascii="Times New Roman" w:cs="Times New Roman" w:eastAsia="Times New Roman" w:hAnsi="Times New Roman"/>
          <w:sz w:val="20"/>
          <w:szCs w:val="20"/>
          <w:color w:val="1E1E1E"/>
        </w:rPr>
        <w:t>See Index of Exhibits included herein.</w:t>
      </w:r>
    </w:p>
    <w:p>
      <w:pPr>
        <w:sectPr>
          <w:pgSz w:w="11880" w:h="15480" w:orient="portrait"/>
          <w:cols w:equalWidth="0" w:num="1">
            <w:col w:w="10700"/>
          </w:cols>
          <w:pgMar w:left="540" w:top="123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104</w:t>
      </w:r>
    </w:p>
    <w:p>
      <w:pPr>
        <w:sectPr>
          <w:pgSz w:w="11880" w:h="15480" w:orient="portrait"/>
          <w:cols w:equalWidth="0" w:num="1">
            <w:col w:w="10700"/>
          </w:cols>
          <w:pgMar w:left="540" w:top="1235" w:right="640" w:bottom="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75"/>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ind w:left="3060"/>
              <w:spacing w:after="0"/>
              <w:rPr>
                <w:sz w:val="20"/>
                <w:szCs w:val="20"/>
                <w:color w:val="auto"/>
              </w:rPr>
            </w:pPr>
            <w:r>
              <w:rPr>
                <w:rFonts w:ascii="Times New Roman" w:cs="Times New Roman" w:eastAsia="Times New Roman" w:hAnsi="Times New Roman"/>
                <w:sz w:val="20"/>
                <w:szCs w:val="20"/>
                <w:b w:val="1"/>
                <w:bCs w:val="1"/>
                <w:color w:val="1E1E1E"/>
              </w:rPr>
              <w:t>Index of Exhibits</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418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1E1E1E"/>
            </w:tcBorders>
          </w:tcPr>
          <w:p>
            <w:pPr>
              <w:spacing w:after="0"/>
              <w:rPr>
                <w:sz w:val="16"/>
                <w:szCs w:val="16"/>
                <w:color w:val="auto"/>
              </w:rPr>
            </w:pPr>
          </w:p>
        </w:tc>
        <w:tc>
          <w:tcPr>
            <w:tcW w:w="7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highlight w:val="white"/>
                <w:w w:val="97"/>
              </w:rPr>
              <w:t>Exhibit No.</w:t>
            </w:r>
          </w:p>
        </w:tc>
        <w:tc>
          <w:tcPr>
            <w:tcW w:w="60" w:type="dxa"/>
            <w:vAlign w:val="bottom"/>
            <w:tcBorders>
              <w:bottom w:val="single" w:sz="8" w:color="1E1E1E"/>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4180" w:type="dxa"/>
            <w:vAlign w:val="bottom"/>
            <w:tcBorders>
              <w:bottom w:val="single" w:sz="8" w:color="1E1E1E"/>
            </w:tcBorders>
            <w:vMerge w:val="continue"/>
          </w:tcPr>
          <w:p>
            <w:pPr>
              <w:spacing w:after="0"/>
              <w:rPr>
                <w:sz w:val="16"/>
                <w:szCs w:val="16"/>
                <w:color w:val="auto"/>
              </w:rPr>
            </w:pPr>
          </w:p>
        </w:tc>
        <w:tc>
          <w:tcPr>
            <w:tcW w:w="7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highlight w:val="white"/>
                <w:w w:val="96"/>
              </w:rPr>
              <w:t>Description</w:t>
            </w:r>
          </w:p>
        </w:tc>
        <w:tc>
          <w:tcPr>
            <w:tcW w:w="4180" w:type="dxa"/>
            <w:vAlign w:val="bottom"/>
            <w:tcBorders>
              <w:bottom w:val="single" w:sz="8" w:color="1E1E1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Purchase Agreement, dated as of July 18, 2024, by and between Vistance Networks, Inc. (f/k/a CommScope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Holding Company, Inc.) and Amphenol Corporation (Incorporated by reference to Exhibit 2.1 to the Company’s</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Current Report on Form 8-K filed with the SEC on July 23, 2024).</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Purchase Agreement, dated August 3, 2025, by and between Vistance Networks, Inc. (f/k/a CommScope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Holding Company, Inc.) and Amphenol Corporation (Incorporated by reference to Exhibit 2.1 to the</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Registrant’s Current Report on Form 8-K (File No. 001-36146), filed with the SEC on August 7, 2025).</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Second Amended and Restated Certificate of Incorporation of Vistance Networks, Inc. (f/k/a CommScope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Holding Company, Inc.) (Incorporated by reference to Exhibit 3.1 of the Registrant’s Current Report on Form 8-</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K (File No. 001-36146), filed with the SEC on January 15, 2026).</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Certificate of Designations Designating Series A Preferred Stock (Incorporated by reference to Exhibit 3.1 to the</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Registrant’s Current Report on Form 8-K filed with the SEC on April 4, 2019).</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3.3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Certificate of Increase of Shares Designated as Series A Convertible Preferred Stock, par value $0.01</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(Incorporated by reference to Exhibit 3.3 to the Registrant’s Annual Report on Form 10-K (File No. 001-36146),</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filed with the SEC on February 29, 2024).</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3.4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w w:val="99"/>
              </w:rPr>
              <w:t>Seventh Amended and Restated By-Laws of Vistance Networks, Inc. (as adopted January 14, 2026) (Incorporated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by reference to Exhibit 3.2 of the Registrant’s Current Report on Form 8-K (File No. 001-36146), filed with the</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SEC on January 15, 2026).</w:t>
            </w:r>
          </w:p>
        </w:tc>
        <w:tc>
          <w:tcPr>
            <w:tcW w:w="0" w:type="dxa"/>
            <w:vAlign w:val="bottom"/>
          </w:tcPr>
          <w:p>
            <w:pPr>
              <w:spacing w:after="0"/>
              <w:rPr>
                <w:sz w:val="1"/>
                <w:szCs w:val="1"/>
                <w:color w:val="auto"/>
              </w:rPr>
            </w:pPr>
          </w:p>
        </w:tc>
      </w:tr>
      <w:tr>
        <w:trPr>
          <w:trHeight w:val="350"/>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Description of Securities Registered Pursuant to Section 12 of the Exchange Act.</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10.1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Form of Long-Term Cash Incentive Award Agreement (Incorporated by reference to Exhibit 10.1 to the</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Company’s Current Report on Form 8-K filed with the SEC on May 21, 2024).***</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10.2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Form of Success Bonus Agreement between CommScope, LLC and Krista R. Bowen and Charles 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Gilstrap (Incorporated by reference to Exhibit 10.2 to the Registrant’s Quarterly Report on Form 10-Q</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(File No. 001-36146), filed with the SEC on October 30, 2025).***</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10.3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Success Bonus Agreement, dated July 22, 2024, between CommScope, LLC and Farid Firouzbakht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(Incorporated by reference to Exhibit 10.2 to the Registrant's Quarterly Report on Form 10-Q (File No.</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001-36146), filed with the SEC on August 8, 2024).***</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10.4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Employment Agreement between Charles L. Treadway and CommScope, LLC (f/k/a CommScope, Inc.), dated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October 1, 2020 (Incorporated by reference to Exhibit 10.1 to the Registrant’s Current Report on Form 8-K (File</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No. 001-36146), filed with the SEC on October 1, 2020).***</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10.5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Amendment to Employment Agreement between Charles L. Treadway and CommScope, LLC (f/k/a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CommScope, Inc.), dated October 4, 2022 (Incorporated by reference to Exhibit 10.2 of the Registrant’s Annual</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Report on Form 10-K (File No. 001-36046), filed with the SEC on February 17, 2023).***</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10.6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Employment Agreement between Claudius E. Watts IV and CommScope, LLC (f/k/a CommScope, Inc.), dated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October 1, 2020 (Incorporated by reference to Exhibit 10.4 to the Registrant’s Current Report on Form 8-K (File</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No. 001-36146), filed with the SEC on October 1, 2020).***</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10.7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Amendment to Employment Agreement between Claudius E. Watts, IV and CommScope, LLC (f/k/a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CommScope, Inc.), dated October 4, 2022 (Incorporated by reference to Exhibit 10.4 of the Registrant’s Annual</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Report on Form 10-K (File No. 001-36046), filed with the SEC on February 17, 2023).***</w:t>
            </w:r>
          </w:p>
        </w:tc>
        <w:tc>
          <w:tcPr>
            <w:tcW w:w="0" w:type="dxa"/>
            <w:vAlign w:val="bottom"/>
          </w:tcPr>
          <w:p>
            <w:pPr>
              <w:spacing w:after="0"/>
              <w:rPr>
                <w:sz w:val="1"/>
                <w:szCs w:val="1"/>
                <w:color w:val="auto"/>
              </w:rPr>
            </w:pP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1E1E1E"/>
              </w:rPr>
              <w:t>10.8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Form of Severance Protection Agreement among CommScope, LLC (f/k/a CommScope, Inc.) and Kyle 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Lorentzen, Charles A. Gilstrap, Krista R. Bowen, Bartolomeo A. Giordano and Guy Sucharczuk (Incorporated by</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reference to Exhibit 10.6 of the Registrant’s Annual Report on Form 10-K (File No. 001-36046), filed with the</w:t>
            </w:r>
          </w:p>
        </w:tc>
        <w:tc>
          <w:tcPr>
            <w:tcW w:w="0" w:type="dxa"/>
            <w:vAlign w:val="bottom"/>
          </w:tcPr>
          <w:p>
            <w:pPr>
              <w:spacing w:after="0"/>
              <w:rPr>
                <w:sz w:val="1"/>
                <w:szCs w:val="1"/>
                <w:color w:val="auto"/>
              </w:rPr>
            </w:pPr>
          </w:p>
        </w:tc>
      </w:tr>
      <w:tr>
        <w:trPr>
          <w:trHeight w:val="268"/>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SEC on February 17,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-7305040</wp:posOffset>
            </wp:positionV>
            <wp:extent cx="11303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
                      <a:extLst>
                        <a:ext uri="{28A0092B-C50C-407E-A947-70E740481C1C}"/>
                      </a:extLst>
                    </a:blip>
                    <a:srcRect/>
                    <a:stretch>
                      <a:fillRect/>
                    </a:stretch>
                  </pic:blipFill>
                  <pic:spPr bwMode="auto">
                    <a:xfrm>
                      <a:off x="0" y="0"/>
                      <a:ext cx="113030" cy="6350"/>
                    </a:xfrm>
                    <a:prstGeom prst="rect">
                      <a:avLst/>
                    </a:prstGeom>
                    <a:noFill/>
                  </pic:spPr>
                </pic:pic>
              </a:graphicData>
            </a:graphic>
          </wp:anchor>
        </w:drawing>
      </w:r>
    </w:p>
    <w:p>
      <w:pPr>
        <w:sectPr>
          <w:pgSz w:w="11880" w:h="15480" w:orient="portrait"/>
          <w:cols w:equalWidth="0" w:num="1">
            <w:col w:w="10620"/>
          </w:cols>
          <w:pgMar w:left="660" w:top="1235"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1E1E1E"/>
        </w:rPr>
        <w:t>105</w:t>
      </w:r>
    </w:p>
    <w:p>
      <w:pPr>
        <w:sectPr>
          <w:pgSz w:w="11880" w:h="15480" w:orient="portrait"/>
          <w:cols w:equalWidth="0" w:num="1">
            <w:col w:w="10620"/>
          </w:cols>
          <w:pgMar w:left="660" w:top="1235" w:right="600" w:bottom="0" w:gutter="0" w:footer="0" w:header="0"/>
          <w:type w:val="continuous"/>
        </w:sectPr>
      </w:pPr>
    </w:p>
    <w:bookmarkStart w:id="115" w:name="page116"/>
    <w:bookmarkEnd w:id="115"/>
    <w:tbl>
      <w:tblPr>
        <w:tblLayout w:type="fixed"/>
        <w:tblInd w:w="4" w:type="dxa"/>
        <w:tblCellMar>
          <w:top w:w="0" w:type="dxa"/>
          <w:left w:w="0" w:type="dxa"/>
          <w:bottom w:w="0" w:type="dxa"/>
          <w:right w:w="0" w:type="dxa"/>
        </w:tblCellMar>
      </w:tblPr>
      <w:tr>
        <w:trPr>
          <w:trHeight w:val="230"/>
        </w:trPr>
        <w:tc>
          <w:tcPr>
            <w:tcW w:w="10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E1E1E"/>
              </w:rPr>
              <w:t>*  10.9</w:t>
            </w:r>
          </w:p>
        </w:tc>
        <w:tc>
          <w:tcPr>
            <w:tcW w:w="94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1E1E1E"/>
                <w:w w:val="99"/>
              </w:rPr>
              <w:t>Severance Protection Agreement between Charles L. Treadway and CommScope, LLC (f/k/a CommScope, Inc.),</w:t>
            </w:r>
          </w:p>
        </w:tc>
      </w:tr>
      <w:tr>
        <w:trPr>
          <w:trHeight w:val="230"/>
        </w:trPr>
        <w:tc>
          <w:tcPr>
            <w:tcW w:w="106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dated October 4, 2022 (Incorporated by reference to Exhibit</w:t>
            </w:r>
          </w:p>
        </w:tc>
        <w:tc>
          <w:tcPr>
            <w:tcW w:w="424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10.7 of the Registrant’s Annual Report on Form 10-</w:t>
            </w:r>
          </w:p>
        </w:tc>
      </w:tr>
      <w:tr>
        <w:trPr>
          <w:trHeight w:val="268"/>
        </w:trPr>
        <w:tc>
          <w:tcPr>
            <w:tcW w:w="1060" w:type="dxa"/>
            <w:vAlign w:val="bottom"/>
          </w:tcPr>
          <w:p>
            <w:pPr>
              <w:spacing w:after="0"/>
              <w:rPr>
                <w:sz w:val="23"/>
                <w:szCs w:val="23"/>
                <w:color w:val="auto"/>
              </w:rPr>
            </w:pPr>
          </w:p>
        </w:tc>
        <w:tc>
          <w:tcPr>
            <w:tcW w:w="520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K (File No. 001-36046), filed with the SEC on February 17,</w:t>
            </w:r>
          </w:p>
        </w:tc>
        <w:tc>
          <w:tcPr>
            <w:tcW w:w="424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2023).***</w:t>
            </w:r>
          </w:p>
        </w:tc>
      </w:tr>
    </w:tbl>
    <w:p>
      <w:pPr>
        <w:spacing w:after="0" w:line="82" w:lineRule="exact"/>
        <w:rPr>
          <w:sz w:val="20"/>
          <w:szCs w:val="20"/>
          <w:color w:val="auto"/>
        </w:rPr>
      </w:pPr>
    </w:p>
    <w:p>
      <w:pPr>
        <w:ind w:left="1424" w:right="100" w:hanging="1424"/>
        <w:spacing w:after="0" w:line="259"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10.10Severance Protection Agreement between Claudius E. Watts and CommScope, LLC (f/k/a CommScope, Inc.), dated October 4, 2022 (Incorporated by reference to Exhibit 10.8 of the Registrant’s Annual Report on Form 10-K (File No. 001-36046), filed with the SEC on February 17, 2023).***</w:t>
      </w:r>
    </w:p>
    <w:p>
      <w:pPr>
        <w:spacing w:after="0" w:line="65" w:lineRule="exact"/>
        <w:rPr>
          <w:rFonts w:ascii="Times New Roman" w:cs="Times New Roman" w:eastAsia="Times New Roman" w:hAnsi="Times New Roman"/>
          <w:sz w:val="20"/>
          <w:szCs w:val="20"/>
          <w:color w:val="1E1E1E"/>
        </w:rPr>
      </w:pPr>
    </w:p>
    <w:p>
      <w:pPr>
        <w:ind w:left="1424" w:right="320" w:hanging="1424"/>
        <w:spacing w:after="0" w:line="259"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10.11Form of Indemnification Agreement (Incorporated by reference to Exhibit 10.22 of Amendment No. 2 to the Registrant’s Registration Statement on Form S-1 (File No. 333-190354), filed with the SEC on September 12, 2013).***</w:t>
      </w:r>
    </w:p>
    <w:p>
      <w:pPr>
        <w:spacing w:after="0" w:line="65" w:lineRule="exact"/>
        <w:rPr>
          <w:rFonts w:ascii="Times New Roman" w:cs="Times New Roman" w:eastAsia="Times New Roman" w:hAnsi="Times New Roman"/>
          <w:sz w:val="20"/>
          <w:szCs w:val="20"/>
          <w:color w:val="1E1E1E"/>
        </w:rPr>
      </w:pPr>
    </w:p>
    <w:p>
      <w:pPr>
        <w:ind w:left="1424" w:right="40" w:hanging="1424"/>
        <w:spacing w:after="0" w:line="253"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10.12Vistance Networks, Inc. (f/k/a CommScope Holding Company, Inc.) Amended and Restated 2013 Long-Term Incentive Plan (as amended and restated effective February 21, 2017) (Incorporated by reference to Exhibit 10.28 of the Registrant’s Annual Report on Form 10-K (File No. 001-36146), filed with the SEC on February 23, 2017).***</w:t>
      </w:r>
    </w:p>
    <w:p>
      <w:pPr>
        <w:spacing w:after="0" w:line="70" w:lineRule="exact"/>
        <w:rPr>
          <w:rFonts w:ascii="Times New Roman" w:cs="Times New Roman" w:eastAsia="Times New Roman" w:hAnsi="Times New Roman"/>
          <w:sz w:val="20"/>
          <w:szCs w:val="20"/>
          <w:color w:val="1E1E1E"/>
        </w:rPr>
      </w:pPr>
    </w:p>
    <w:p>
      <w:pPr>
        <w:ind w:left="1424" w:right="200" w:hanging="1424"/>
        <w:spacing w:after="0" w:line="259"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10.13Form of Non-Qualified Stock Option Certificate under the Vistance Networks, Inc. (f/k/a CommScope Holding Company, Inc.) 2013 Long-Term Incentive Plan (Incorporated by reference to Exhibit 10.4 of the Registrant’s Quarterly Report on Form 10-Q (File No. 001-36146), filed with the SEC on April 30, 2015).***</w:t>
      </w:r>
    </w:p>
    <w:p>
      <w:pPr>
        <w:spacing w:after="0" w:line="65" w:lineRule="exact"/>
        <w:rPr>
          <w:rFonts w:ascii="Times New Roman" w:cs="Times New Roman" w:eastAsia="Times New Roman" w:hAnsi="Times New Roman"/>
          <w:sz w:val="20"/>
          <w:szCs w:val="20"/>
          <w:color w:val="1E1E1E"/>
        </w:rPr>
      </w:pPr>
    </w:p>
    <w:p>
      <w:pPr>
        <w:jc w:val="right"/>
        <w:ind w:left="1424" w:right="260" w:hanging="1424"/>
        <w:spacing w:after="0" w:line="307"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10.14</w:t>
      </w:r>
      <w:r>
        <w:rPr>
          <w:rFonts w:ascii="Times New Roman" w:cs="Times New Roman" w:eastAsia="Times New Roman" w:hAnsi="Times New Roman"/>
          <w:sz w:val="19"/>
          <w:szCs w:val="19"/>
          <w:color w:val="1E1E1E"/>
        </w:rPr>
        <w:t>Amendment to Outstanding Options, effective March 7, 2016 (Incorporated by reference to Exhibit 10.5 of the Registrant’s Quarterly Report on Form 10-Q (File No. 001-36146), filed with the SEC on April 28, 2016).***</w:t>
      </w:r>
    </w:p>
    <w:p>
      <w:pPr>
        <w:spacing w:after="0" w:line="21" w:lineRule="exact"/>
        <w:rPr>
          <w:rFonts w:ascii="Times New Roman" w:cs="Times New Roman" w:eastAsia="Times New Roman" w:hAnsi="Times New Roman"/>
          <w:sz w:val="20"/>
          <w:szCs w:val="20"/>
          <w:color w:val="1E1E1E"/>
        </w:rPr>
      </w:pPr>
    </w:p>
    <w:p>
      <w:pPr>
        <w:ind w:left="1424" w:right="160" w:hanging="1424"/>
        <w:spacing w:after="0" w:line="253"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10.15Form of Restricted Stock Unit Award Certificate under the Vistance Networks, Inc. (f/k/a CommScope Holding Company, Inc.) 2013 Long-Term Incentive Plan (for grants in 2016 and later) (Incorporated by reference to Exhibit 10.2 of the Registrant’s Quarterly Report on Form 10-Q (File No. 001-36146), filed with the SEC on April 28, 2016).***</w:t>
      </w:r>
    </w:p>
    <w:p>
      <w:pPr>
        <w:spacing w:after="0" w:line="70" w:lineRule="exact"/>
        <w:rPr>
          <w:rFonts w:ascii="Times New Roman" w:cs="Times New Roman" w:eastAsia="Times New Roman" w:hAnsi="Times New Roman"/>
          <w:sz w:val="20"/>
          <w:szCs w:val="20"/>
          <w:color w:val="1E1E1E"/>
        </w:rPr>
      </w:pPr>
    </w:p>
    <w:p>
      <w:pPr>
        <w:ind w:left="1424" w:hanging="1424"/>
        <w:spacing w:after="0" w:line="253"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10.16Form of Performance Share Unit Award Certificate under the Vistance Networks, Inc. (f/k/a CommScope Holding Company, Inc.) 2013 Long-Term Incentive Plan (for grants in 2016 and later) (Incorporated by reference to Exhibit 10.3 of the Registrant’s Quarterly Report on Form 10-Q (File No. 001-36146), filed with the SEC on April 28, 2016).***</w:t>
      </w:r>
    </w:p>
    <w:p>
      <w:pPr>
        <w:spacing w:after="0" w:line="70" w:lineRule="exact"/>
        <w:rPr>
          <w:rFonts w:ascii="Times New Roman" w:cs="Times New Roman" w:eastAsia="Times New Roman" w:hAnsi="Times New Roman"/>
          <w:sz w:val="20"/>
          <w:szCs w:val="20"/>
          <w:color w:val="1E1E1E"/>
        </w:rPr>
      </w:pPr>
    </w:p>
    <w:p>
      <w:pPr>
        <w:ind w:left="1424" w:right="200" w:hanging="1424"/>
        <w:spacing w:after="0" w:line="253"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10.17Form of Non-Qualified Stock Option Certificate under the Vistance Networks, Inc. (f/k/a CommScope Holding Company, Inc.) 2013 Long-Term Incentive Plan (for grants in 2016 and later) (Incorporated by reference to Exhibit 10.4 of the Registrant’s Quarterly Report on Form 10-Q (File No. 001-36146), filed with the SEC on April 28, 2016).***</w:t>
      </w:r>
    </w:p>
    <w:p>
      <w:pPr>
        <w:spacing w:after="0" w:line="70" w:lineRule="exact"/>
        <w:rPr>
          <w:rFonts w:ascii="Times New Roman" w:cs="Times New Roman" w:eastAsia="Times New Roman" w:hAnsi="Times New Roman"/>
          <w:sz w:val="20"/>
          <w:szCs w:val="20"/>
          <w:color w:val="1E1E1E"/>
        </w:rPr>
      </w:pPr>
    </w:p>
    <w:p>
      <w:pPr>
        <w:ind w:left="1424" w:right="320" w:hanging="1424"/>
        <w:spacing w:after="0" w:line="261"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10.18Vistance Networks, Inc. (f/k/a CommScope Holding Company, Inc.) Annual Incentive Plan, as amended and restated February 21, 2023. (Incorporated by reference to Exhibit 10.1 of the Registrant’s Quarterly Report on Form 10-Q (File No. 001-36046), filed with the SEC on May 4, 2023).</w:t>
      </w:r>
      <w:r>
        <w:rPr>
          <w:rFonts w:ascii="Times New Roman" w:cs="Times New Roman" w:eastAsia="Times New Roman" w:hAnsi="Times New Roman"/>
          <w:sz w:val="20"/>
          <w:szCs w:val="20"/>
          <w:b w:val="1"/>
          <w:bCs w:val="1"/>
          <w:color w:val="1E1E1E"/>
        </w:rPr>
        <w:t>***</w:t>
      </w:r>
    </w:p>
    <w:p>
      <w:pPr>
        <w:spacing w:after="0" w:line="59" w:lineRule="exact"/>
        <w:rPr>
          <w:rFonts w:ascii="Times New Roman" w:cs="Times New Roman" w:eastAsia="Times New Roman" w:hAnsi="Times New Roman"/>
          <w:sz w:val="20"/>
          <w:szCs w:val="20"/>
          <w:color w:val="1E1E1E"/>
        </w:rPr>
      </w:pPr>
    </w:p>
    <w:p>
      <w:pPr>
        <w:ind w:left="1424" w:right="260" w:hanging="1424"/>
        <w:spacing w:after="0" w:line="259"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10.19Vistance Networks, Inc. (f/k/a CommScope Holding Company, Inc.) Non-Employee Director Compensation Plan, as amended on February 19, 2019 (Incorporated by reference to Exhibit 10.19 of the Registrant’s Annual Report on Form 10-K (File No. 001-36046), filed with the SEC on February 17, 2023).</w:t>
      </w:r>
    </w:p>
    <w:p>
      <w:pPr>
        <w:spacing w:after="0" w:line="65" w:lineRule="exact"/>
        <w:rPr>
          <w:rFonts w:ascii="Times New Roman" w:cs="Times New Roman" w:eastAsia="Times New Roman" w:hAnsi="Times New Roman"/>
          <w:sz w:val="20"/>
          <w:szCs w:val="20"/>
          <w:color w:val="1E1E1E"/>
        </w:rPr>
      </w:pPr>
    </w:p>
    <w:p>
      <w:pPr>
        <w:ind w:left="1424" w:right="160" w:hanging="1424"/>
        <w:spacing w:after="0" w:line="249"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10.20Form of Restricted Stock Unit Award Certificate under the Vistance Networks, Inc. (f/k/a CommScope Holding Company, Inc.) Non-Employee Director Compensation Plan, which is operated as a subplan of the Vistance Networks, Inc. (f/k/a CommScope Holding Company, Inc.) 2019 Long-Term Incentive Plan (Incorporated by reference to Exhibit 10.20 of the Registrant’s Annual Report on Form 10-K (File No. 001-36046), filed with the SEC on February 17, 2023).</w:t>
      </w:r>
    </w:p>
    <w:p>
      <w:pPr>
        <w:spacing w:after="0" w:line="76" w:lineRule="exact"/>
        <w:rPr>
          <w:rFonts w:ascii="Times New Roman" w:cs="Times New Roman" w:eastAsia="Times New Roman" w:hAnsi="Times New Roman"/>
          <w:sz w:val="20"/>
          <w:szCs w:val="20"/>
          <w:color w:val="1E1E1E"/>
        </w:rPr>
      </w:pPr>
    </w:p>
    <w:p>
      <w:pPr>
        <w:ind w:left="1424" w:right="20" w:hanging="1424"/>
        <w:spacing w:after="0" w:line="253"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10.21Form of Non-Qualified Stock Option Certificate under the Vistance Networks, Inc. (f/k/a CommScope Holding Company, Inc.) Amended and Restated 2013 Long-Term Incentive Plan (for grants to senior executive officers in 2019) (Incorporated by reference to Exhibit 10.5 of the Registrant’s Quarterly Report on Form 10-Q (File No. 001-36146), filed with the SEC on August 8, 2019).***</w:t>
      </w:r>
    </w:p>
    <w:p>
      <w:pPr>
        <w:spacing w:after="0" w:line="70" w:lineRule="exact"/>
        <w:rPr>
          <w:rFonts w:ascii="Times New Roman" w:cs="Times New Roman" w:eastAsia="Times New Roman" w:hAnsi="Times New Roman"/>
          <w:sz w:val="20"/>
          <w:szCs w:val="20"/>
          <w:color w:val="1E1E1E"/>
        </w:rPr>
      </w:pPr>
    </w:p>
    <w:p>
      <w:pPr>
        <w:ind w:left="1424" w:right="160" w:hanging="1424"/>
        <w:spacing w:after="0" w:line="253" w:lineRule="auto"/>
        <w:tabs>
          <w:tab w:leader="none" w:pos="333" w:val="left"/>
        </w:tabs>
        <w:numPr>
          <w:ilvl w:val="0"/>
          <w:numId w:val="7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10.22Form of Restricted Stock Unit Award Certificate under the Vistance Networks, Inc. (f/k/a CommScope Holding Company, Inc.) Amended and Restated 2019 Long-Term Incentive Plan (Incorporated by reference to Exhibit 10.2 of the Registrant’s Current Report on Form 8-K (File No. 001-36146), filed with the SEC on October 1, 2020).***</w:t>
      </w:r>
    </w:p>
    <w:p>
      <w:pPr>
        <w:sectPr>
          <w:pgSz w:w="11880" w:h="15480" w:orient="portrait"/>
          <w:cols w:equalWidth="0" w:num="1">
            <w:col w:w="10544"/>
          </w:cols>
          <w:pgMar w:left="716" w:top="1238" w:right="62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20"/>
          <w:szCs w:val="20"/>
          <w:color w:val="1E1E1E"/>
        </w:rPr>
        <w:t>106</w:t>
      </w:r>
    </w:p>
    <w:p>
      <w:pPr>
        <w:sectPr>
          <w:pgSz w:w="11880" w:h="15480" w:orient="portrait"/>
          <w:cols w:equalWidth="0" w:num="1">
            <w:col w:w="10544"/>
          </w:cols>
          <w:pgMar w:left="716" w:top="1238" w:right="620" w:bottom="0" w:gutter="0" w:footer="0" w:header="0"/>
          <w:type w:val="continuous"/>
        </w:sectPr>
      </w:pPr>
    </w:p>
    <w:bookmarkStart w:id="116" w:name="page117"/>
    <w:bookmarkEnd w:id="116"/>
    <w:p>
      <w:pPr>
        <w:jc w:val="both"/>
        <w:ind w:left="1600" w:right="20" w:hanging="1424"/>
        <w:spacing w:after="0" w:line="253" w:lineRule="auto"/>
        <w:tabs>
          <w:tab w:leader="none" w:pos="509" w:val="left"/>
        </w:tabs>
        <w:numPr>
          <w:ilvl w:val="0"/>
          <w:numId w:val="8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10.23Form of Performance Share Unit Award Certificate under the Vistance Networks, Inc. (f/k/a CommScope Holding Company, Inc.) Amended and Restated 2019 Long-Term Incentive Plan (service and average stock price vesting) (Incorporated by reference to Exhibit 10.3 of the Registrant’s Current Report on Form 8-K (File No. 001-36146), filed with the SEC on October 1, 2020). ***</w:t>
      </w:r>
    </w:p>
    <w:p>
      <w:pPr>
        <w:spacing w:after="0" w:line="70" w:lineRule="exact"/>
        <w:rPr>
          <w:rFonts w:ascii="Times New Roman" w:cs="Times New Roman" w:eastAsia="Times New Roman" w:hAnsi="Times New Roman"/>
          <w:sz w:val="20"/>
          <w:szCs w:val="20"/>
          <w:color w:val="1E1E1E"/>
        </w:rPr>
      </w:pPr>
    </w:p>
    <w:p>
      <w:pPr>
        <w:ind w:left="1600" w:right="40" w:hanging="1424"/>
        <w:spacing w:after="0" w:line="253" w:lineRule="auto"/>
        <w:tabs>
          <w:tab w:leader="none" w:pos="509" w:val="left"/>
        </w:tabs>
        <w:numPr>
          <w:ilvl w:val="0"/>
          <w:numId w:val="8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10.24Form of Performance Share Unit Award Certificate under the Vistance Networks, Inc. (f/k/a CommScope Holding Company, Inc.) Amended and Restated 2019 Long-Term Incentive Plan (Incorporated by reference to Exhibit 10.1 of the Registrant’s Quarterly Report on Form 10-Q (File No. 001-36146), filed with the SEC on May 5, 2022).***</w:t>
      </w:r>
    </w:p>
    <w:p>
      <w:pPr>
        <w:spacing w:after="0" w:line="70" w:lineRule="exact"/>
        <w:rPr>
          <w:rFonts w:ascii="Times New Roman" w:cs="Times New Roman" w:eastAsia="Times New Roman" w:hAnsi="Times New Roman"/>
          <w:sz w:val="20"/>
          <w:szCs w:val="20"/>
          <w:color w:val="1E1E1E"/>
        </w:rPr>
      </w:pPr>
    </w:p>
    <w:p>
      <w:pPr>
        <w:ind w:left="1600" w:right="220" w:hanging="1424"/>
        <w:spacing w:after="0" w:line="259" w:lineRule="auto"/>
        <w:tabs>
          <w:tab w:leader="none" w:pos="509" w:val="left"/>
        </w:tabs>
        <w:numPr>
          <w:ilvl w:val="0"/>
          <w:numId w:val="8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10.25Vistance Networks, Inc. (f/k/a CommScope Holding Company, Inc.) Deferred Compensation Plan (as amended and restated effective January 1, 2017) (Incorporated by reference to Exhibit 10.41 of the Registrant’s Annual Report on Form 10-K (File No. 001-36146), filed with the SEC on February 23, 2017).***</w:t>
      </w:r>
    </w:p>
    <w:p>
      <w:pPr>
        <w:spacing w:after="0" w:line="65" w:lineRule="exact"/>
        <w:rPr>
          <w:rFonts w:ascii="Times New Roman" w:cs="Times New Roman" w:eastAsia="Times New Roman" w:hAnsi="Times New Roman"/>
          <w:sz w:val="20"/>
          <w:szCs w:val="20"/>
          <w:color w:val="1E1E1E"/>
        </w:rPr>
      </w:pPr>
    </w:p>
    <w:p>
      <w:pPr>
        <w:ind w:left="1600" w:right="120" w:hanging="1424"/>
        <w:spacing w:after="0" w:line="259" w:lineRule="auto"/>
        <w:tabs>
          <w:tab w:leader="none" w:pos="509" w:val="left"/>
        </w:tabs>
        <w:numPr>
          <w:ilvl w:val="0"/>
          <w:numId w:val="8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10.26Vistance Networks, Inc. (f/k/a CommScope Holding Company, Inc.) Amended and Restated 2019 Long-Term Incentive Plan (Incorporated by reference to Exhibit 99.1 to the Registrant’s Registration Statement on Form S-8 (File No. 333-265198), filed with the SEC on May 24, 2023).***</w:t>
      </w:r>
    </w:p>
    <w:p>
      <w:pPr>
        <w:spacing w:after="0" w:line="6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E1E1E"/>
              </w:rPr>
              <w:t>18.1</w:t>
            </w: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Preferability Letter from Ernst &amp; Young LLP, Independent Registered Public Accounting Firm (Incorporated by</w:t>
            </w:r>
          </w:p>
        </w:tc>
      </w:tr>
      <w:tr>
        <w:trPr>
          <w:trHeight w:val="230"/>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w w:val="99"/>
              </w:rPr>
              <w:t>Reference to Exhibit 18.1 of the Registrant’s Quarterly Report on Form 10-Q (File No. 001-36146), filed with the</w:t>
            </w:r>
          </w:p>
        </w:tc>
      </w:tr>
      <w:tr>
        <w:trPr>
          <w:trHeight w:val="268"/>
        </w:trPr>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SEC on August 8, 2019).</w:t>
            </w: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E1E1E"/>
              </w:rPr>
              <w:t>19.1</w:t>
            </w: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Vistance Networks, Inc. (f/k/a CommScope Holding Company, Inc.) Inside Information and Insider Trading</w:t>
            </w:r>
          </w:p>
        </w:tc>
      </w:tr>
      <w:tr>
        <w:trPr>
          <w:trHeight w:val="230"/>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Policy, effective May 18, 2023 (including Guidelines for a Rule 10b5-1 Plan) (Incorporated by reference to</w:t>
            </w:r>
          </w:p>
        </w:tc>
      </w:tr>
      <w:tr>
        <w:trPr>
          <w:trHeight w:val="230"/>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Exhibit 19.1 to the Registrant’s Annual Report on Form 10-K (File No. 001-36046), filed with the SEC on</w:t>
            </w:r>
          </w:p>
        </w:tc>
      </w:tr>
      <w:tr>
        <w:trPr>
          <w:trHeight w:val="268"/>
        </w:trPr>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February 29, 2024).</w:t>
            </w:r>
          </w:p>
        </w:tc>
      </w:tr>
      <w:tr>
        <w:trPr>
          <w:trHeight w:val="350"/>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E1E1E"/>
              </w:rPr>
              <w:t>21.1</w:t>
            </w: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List of Subsidiaries</w:t>
            </w:r>
          </w:p>
        </w:tc>
      </w:tr>
      <w:tr>
        <w:trPr>
          <w:trHeight w:val="350"/>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E1E1E"/>
              </w:rPr>
              <w:t>23.1</w:t>
            </w: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Consent of Ernst &amp; Young LLP, Independent Registered Public Accounting Firm</w:t>
            </w:r>
          </w:p>
        </w:tc>
      </w:tr>
      <w:tr>
        <w:trPr>
          <w:trHeight w:val="350"/>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E1E1E"/>
              </w:rPr>
              <w:t>31.1</w:t>
            </w: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Certification of Principal Executive Officer pursuant to Rule 13a-14(a).</w:t>
            </w:r>
          </w:p>
        </w:tc>
      </w:tr>
      <w:tr>
        <w:trPr>
          <w:trHeight w:val="350"/>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E1E1E"/>
              </w:rPr>
              <w:t>31.2</w:t>
            </w: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Certification of Principal Financial Officer pursuant to Rule 13a-14(a).</w:t>
            </w: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0"/>
              </w:rPr>
              <w:t>±</w:t>
            </w: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E1E1E"/>
              </w:rPr>
              <w:t>32.1</w:t>
            </w: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w w:val="99"/>
              </w:rPr>
              <w:t>Certification of Principal Executive Officer and Principal Financial Officer pursuant to 18 U.S.C. Section 1350 as</w:t>
            </w:r>
          </w:p>
        </w:tc>
      </w:tr>
      <w:tr>
        <w:trPr>
          <w:trHeight w:val="230"/>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adopted pursuant to Section 906 of the Sarbanes-Oxley Act of 2002 (furnished pursuant to Item 601(b)(32)(ii) of</w:t>
            </w:r>
          </w:p>
        </w:tc>
      </w:tr>
      <w:tr>
        <w:trPr>
          <w:trHeight w:val="268"/>
        </w:trPr>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Regulation S-K).</w:t>
            </w:r>
          </w:p>
        </w:tc>
      </w:tr>
      <w:tr>
        <w:trPr>
          <w:trHeight w:val="312"/>
        </w:trPr>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E1E1E"/>
              </w:rPr>
              <w:t>97.1</w:t>
            </w: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Vistance Networks, Inc. (f/k/a CommScope Holding Company, Inc.) Compensation Recovery Policy</w:t>
            </w:r>
          </w:p>
        </w:tc>
      </w:tr>
      <w:tr>
        <w:trPr>
          <w:trHeight w:val="230"/>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w w:val="99"/>
              </w:rPr>
              <w:t>(Incorporated by reference to Exhibit 97.1 to the Registrant’s Annual Report on Form 10-K (File No. 001-36046),</w:t>
            </w:r>
          </w:p>
        </w:tc>
      </w:tr>
      <w:tr>
        <w:trPr>
          <w:trHeight w:val="268"/>
        </w:trPr>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8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filed with the SEC on February 29, 2024).</w:t>
            </w:r>
          </w:p>
        </w:tc>
      </w:tr>
    </w:tbl>
    <w:p>
      <w:pPr>
        <w:spacing w:after="0" w:line="82" w:lineRule="exact"/>
        <w:rPr>
          <w:sz w:val="20"/>
          <w:szCs w:val="20"/>
          <w:color w:val="auto"/>
        </w:rPr>
      </w:pPr>
    </w:p>
    <w:p>
      <w:pPr>
        <w:ind w:left="1600" w:right="140" w:hanging="1424"/>
        <w:spacing w:after="0" w:line="279" w:lineRule="auto"/>
        <w:tabs>
          <w:tab w:leader="none" w:pos="509" w:val="left"/>
        </w:tabs>
        <w:numPr>
          <w:ilvl w:val="0"/>
          <w:numId w:val="8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101.INSInline XBRL Instance Document – The instance document does not appear in the interactive data file because its XBRL tags are embedded within the inline XBRL document.</w:t>
      </w:r>
    </w:p>
    <w:p>
      <w:pPr>
        <w:spacing w:after="0" w:line="45" w:lineRule="exact"/>
        <w:rPr>
          <w:rFonts w:ascii="Times New Roman" w:cs="Times New Roman" w:eastAsia="Times New Roman" w:hAnsi="Times New Roman"/>
          <w:sz w:val="20"/>
          <w:szCs w:val="20"/>
          <w:color w:val="1E1E1E"/>
        </w:rPr>
      </w:pPr>
    </w:p>
    <w:p>
      <w:pPr>
        <w:ind w:left="500" w:hanging="324"/>
        <w:spacing w:after="0"/>
        <w:tabs>
          <w:tab w:leader="none" w:pos="500" w:val="left"/>
        </w:tabs>
        <w:numPr>
          <w:ilvl w:val="0"/>
          <w:numId w:val="8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101.SCH    Inline XBRL Taxonomy Extension Schema With Embedded Linkbase Documents</w:t>
      </w:r>
    </w:p>
    <w:p>
      <w:pPr>
        <w:spacing w:after="0" w:line="120" w:lineRule="exact"/>
        <w:rPr>
          <w:sz w:val="20"/>
          <w:szCs w:val="20"/>
          <w:color w:val="auto"/>
        </w:rPr>
      </w:pPr>
    </w:p>
    <w:p>
      <w:pPr>
        <w:ind w:left="1600" w:hanging="1091"/>
        <w:spacing w:after="0"/>
        <w:tabs>
          <w:tab w:leader="none" w:pos="1600" w:val="left"/>
        </w:tabs>
        <w:numPr>
          <w:ilvl w:val="1"/>
          <w:numId w:val="8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Cover Page Interactive Data File (embedded within the Inline XBRL document).</w:t>
      </w:r>
    </w:p>
    <w:p>
      <w:pPr>
        <w:spacing w:after="0" w:line="241" w:lineRule="exact"/>
        <w:rPr>
          <w:rFonts w:ascii="Times New Roman" w:cs="Times New Roman" w:eastAsia="Times New Roman" w:hAnsi="Times New Roman"/>
          <w:sz w:val="20"/>
          <w:szCs w:val="20"/>
          <w:color w:val="1E1E1E"/>
        </w:rPr>
      </w:pPr>
    </w:p>
    <w:p>
      <w:pPr>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19"/>
          <w:szCs w:val="19"/>
          <w:color w:val="1E1E1E"/>
        </w:rPr>
        <w:t>* Previously filed</w:t>
      </w:r>
    </w:p>
    <w:p>
      <w:pPr>
        <w:spacing w:after="0" w:line="120" w:lineRule="exact"/>
        <w:rPr>
          <w:rFonts w:ascii="Times New Roman" w:cs="Times New Roman" w:eastAsia="Times New Roman" w:hAnsi="Times New Roman"/>
          <w:sz w:val="20"/>
          <w:szCs w:val="20"/>
          <w:color w:val="1E1E1E"/>
        </w:rPr>
      </w:pPr>
    </w:p>
    <w:p>
      <w:pPr>
        <w:ind w:left="240" w:hanging="240"/>
        <w:spacing w:after="0"/>
        <w:tabs>
          <w:tab w:leader="none" w:pos="240" w:val="left"/>
        </w:tabs>
        <w:numPr>
          <w:ilvl w:val="0"/>
          <w:numId w:val="8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Filed as an exhibit to the Company's Form 10-K, filed with the Securities and Exchange Commission on February 26, 2026.</w:t>
      </w:r>
    </w:p>
    <w:p>
      <w:pPr>
        <w:spacing w:after="0" w:line="120" w:lineRule="exact"/>
        <w:rPr>
          <w:rFonts w:ascii="Times New Roman" w:cs="Times New Roman" w:eastAsia="Times New Roman" w:hAnsi="Times New Roman"/>
          <w:sz w:val="19"/>
          <w:szCs w:val="19"/>
          <w:color w:val="1E1E1E"/>
        </w:rPr>
      </w:pPr>
    </w:p>
    <w:p>
      <w:pPr>
        <w:ind w:left="340" w:hanging="340"/>
        <w:spacing w:after="0"/>
        <w:tabs>
          <w:tab w:leader="none" w:pos="340" w:val="left"/>
        </w:tabs>
        <w:numPr>
          <w:ilvl w:val="0"/>
          <w:numId w:val="8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Management contract or compensatory plan or arrangement.</w:t>
      </w:r>
    </w:p>
    <w:p>
      <w:pPr>
        <w:spacing w:after="0" w:line="120" w:lineRule="exact"/>
        <w:rPr>
          <w:sz w:val="20"/>
          <w:szCs w:val="20"/>
          <w:color w:val="auto"/>
        </w:rPr>
      </w:pPr>
    </w:p>
    <w:p>
      <w:pPr>
        <w:ind w:right="500"/>
        <w:spacing w:after="0" w:line="260" w:lineRule="auto"/>
        <w:tabs>
          <w:tab w:leader="none" w:pos="142" w:val="left"/>
        </w:tabs>
        <w:numPr>
          <w:ilvl w:val="0"/>
          <w:numId w:val="8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accordance with Rule 406T of Regulation S-T, the information in these exhibits is furnished and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65" w:lineRule="exact"/>
        <w:rPr>
          <w:sz w:val="20"/>
          <w:szCs w:val="20"/>
          <w:color w:val="auto"/>
        </w:rPr>
      </w:pPr>
    </w:p>
    <w:p>
      <w:pPr>
        <w:jc w:val="both"/>
        <w:spacing w:after="0" w:line="250" w:lineRule="auto"/>
        <w:tabs>
          <w:tab w:leader="none" w:pos="152" w:val="left"/>
        </w:tabs>
        <w:numPr>
          <w:ilvl w:val="0"/>
          <w:numId w:val="8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accordance with Item 601(b)(32)(ii) of Regulation S-K and SEC Release No. 33-8238 and 34-47986, Final Rule: Management’s Reports on Internal Control Over Financial Reporting and Certification of Disclosure in Exchange Act Periodic Reports, the certification furnished in Exhibit 32.1 hereto is deemed to accompany this Form 10-K and will not be deemed “filed” for purposes of Section 18 of the Exchange Act. Such certification will not be deemed to be incorporated by reference into any filings under the Securities Act or the Exchange Act, except to the extent that the registrant specifically incorporates it by reference.</w:t>
      </w:r>
    </w:p>
    <w:p>
      <w:pPr>
        <w:sectPr>
          <w:pgSz w:w="11880" w:h="15480" w:orient="portrait"/>
          <w:cols w:equalWidth="0" w:num="1">
            <w:col w:w="10760"/>
          </w:cols>
          <w:pgMar w:left="540" w:top="1238" w:right="58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107</w:t>
      </w:r>
    </w:p>
    <w:p>
      <w:pPr>
        <w:sectPr>
          <w:pgSz w:w="11880" w:h="15480" w:orient="portrait"/>
          <w:cols w:equalWidth="0" w:num="1">
            <w:col w:w="10760"/>
          </w:cols>
          <w:pgMar w:left="540" w:top="1238" w:right="580" w:bottom="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1E1E1E"/>
        </w:rPr>
        <w:t>SIGNATURES</w:t>
      </w:r>
    </w:p>
    <w:p>
      <w:pPr>
        <w:spacing w:after="0" w:line="12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1E1E1E"/>
        </w:rPr>
        <w:t>Pursuant to the requirements of Section 13 or 15(d) of the Securities Exchange Act of 1934, as amended, the Registrant has duly caused this report to be signed on its behalf by the undersigned, thereunto duly authorized.</w:t>
      </w:r>
    </w:p>
    <w:p>
      <w:pPr>
        <w:spacing w:after="0" w:line="1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1E1E1E"/>
        </w:rPr>
        <w:t>VISTANCE NETWORKS, INC.</w:t>
      </w:r>
    </w:p>
    <w:p>
      <w:pPr>
        <w:spacing w:after="0" w:line="210" w:lineRule="exact"/>
        <w:rPr>
          <w:sz w:val="20"/>
          <w:szCs w:val="20"/>
          <w:color w:val="auto"/>
        </w:rPr>
      </w:pPr>
    </w:p>
    <w:p>
      <w:pPr>
        <w:ind w:left="5500" w:right="2980" w:hanging="5342"/>
        <w:spacing w:after="0" w:line="257" w:lineRule="auto"/>
        <w:tabs>
          <w:tab w:leader="none" w:pos="5480" w:val="left"/>
        </w:tabs>
        <w:rPr>
          <w:sz w:val="20"/>
          <w:szCs w:val="20"/>
          <w:color w:val="auto"/>
        </w:rPr>
      </w:pPr>
      <w:r>
        <w:rPr>
          <w:rFonts w:ascii="Times New Roman" w:cs="Times New Roman" w:eastAsia="Times New Roman" w:hAnsi="Times New Roman"/>
          <w:sz w:val="20"/>
          <w:szCs w:val="20"/>
          <w:color w:val="1E1E1E"/>
        </w:rPr>
        <w:t>DATE: February 25, 2026</w:t>
      </w:r>
      <w:r>
        <w:rPr>
          <w:sz w:val="20"/>
          <w:szCs w:val="20"/>
          <w:color w:val="auto"/>
        </w:rPr>
        <w:tab/>
      </w:r>
      <w:r>
        <w:rPr>
          <w:rFonts w:ascii="Times New Roman" w:cs="Times New Roman" w:eastAsia="Times New Roman" w:hAnsi="Times New Roman"/>
          <w:sz w:val="20"/>
          <w:szCs w:val="20"/>
          <w:color w:val="1E1E1E"/>
        </w:rPr>
        <w:t>BY: /s/ Charles L. Treadway Charles L. Treadway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5751195</wp:posOffset>
                </wp:positionH>
                <wp:positionV relativeFrom="paragraph">
                  <wp:posOffset>-137160</wp:posOffset>
                </wp:positionV>
                <wp:extent cx="54864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640" cy="4763"/>
                        </a:xfrm>
                        <a:prstGeom prst="line">
                          <a:avLst/>
                        </a:prstGeom>
                        <a:solidFill>
                          <a:srgbClr val="FFFFFF"/>
                        </a:solidFill>
                        <a:ln w="1565">
                          <a:solidFill>
                            <a:srgbClr val="191919"/>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85pt,-10.7999pt" to="496.05pt,-10.7999pt" o:allowincell="f" strokecolor="#191919" strokeweight="0.1232pt"/>
            </w:pict>
          </mc:Fallback>
        </mc:AlternateContent>
        <mc:AlternateContent>
          <mc:Choice Requires="wps">
            <w:drawing>
              <wp:anchor simplePos="0" relativeHeight="251657728" behindDoc="1" locked="0" layoutInCell="0" allowOverlap="1">
                <wp:simplePos x="0" y="0"/>
                <wp:positionH relativeFrom="column">
                  <wp:posOffset>4474210</wp:posOffset>
                </wp:positionH>
                <wp:positionV relativeFrom="paragraph">
                  <wp:posOffset>-137160</wp:posOffset>
                </wp:positionV>
                <wp:extent cx="127698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6985" cy="4763"/>
                        </a:xfrm>
                        <a:prstGeom prst="line">
                          <a:avLst/>
                        </a:prstGeom>
                        <a:solidFill>
                          <a:srgbClr val="FFFFFF"/>
                        </a:solidFill>
                        <a:ln w="3643">
                          <a:solidFill>
                            <a:srgbClr val="191919"/>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3pt,-10.7999pt" to="452.85pt,-10.7999pt" o:allowincell="f" strokecolor="#191919" strokeweight="0.2869pt"/>
            </w:pict>
          </mc:Fallback>
        </mc:AlternateContent>
        <mc:AlternateContent>
          <mc:Choice Requires="wps">
            <w:drawing>
              <wp:anchor simplePos="0" relativeHeight="251657728" behindDoc="1" locked="0" layoutInCell="0" allowOverlap="1">
                <wp:simplePos x="0" y="0"/>
                <wp:positionH relativeFrom="column">
                  <wp:posOffset>3433445</wp:posOffset>
                </wp:positionH>
                <wp:positionV relativeFrom="paragraph">
                  <wp:posOffset>-137160</wp:posOffset>
                </wp:positionV>
                <wp:extent cx="104076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0765" cy="4763"/>
                        </a:xfrm>
                        <a:prstGeom prst="line">
                          <a:avLst/>
                        </a:prstGeom>
                        <a:solidFill>
                          <a:srgbClr val="FFFFFF"/>
                        </a:solidFill>
                        <a:ln w="2969">
                          <a:solidFill>
                            <a:srgbClr val="191919"/>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35pt,-10.7999pt" to="352.3pt,-10.7999pt" o:allowincell="f" strokecolor="#191919" strokeweight="0.2338pt"/>
            </w:pict>
          </mc:Fallback>
        </mc:AlternateContent>
      </w:r>
    </w:p>
    <w:p>
      <w:pPr>
        <w:ind w:left="5500"/>
        <w:spacing w:after="0"/>
        <w:rPr>
          <w:sz w:val="20"/>
          <w:szCs w:val="20"/>
          <w:color w:val="auto"/>
        </w:rPr>
      </w:pPr>
      <w:r>
        <w:rPr>
          <w:rFonts w:ascii="Times New Roman" w:cs="Times New Roman" w:eastAsia="Times New Roman" w:hAnsi="Times New Roman"/>
          <w:sz w:val="20"/>
          <w:szCs w:val="20"/>
          <w:i w:val="1"/>
          <w:iCs w:val="1"/>
          <w:color w:val="1E1E1E"/>
        </w:rPr>
        <w:t>President and Chief Executive Officer</w:t>
      </w:r>
    </w:p>
    <w:p>
      <w:pPr>
        <w:spacing w:after="0" w:line="23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Borders>
              <w:bottom w:val="single" w:sz="8" w:color="191919"/>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Signature</w:t>
            </w:r>
          </w:p>
        </w:tc>
        <w:tc>
          <w:tcPr>
            <w:tcW w:w="320" w:type="dxa"/>
            <w:vAlign w:val="bottom"/>
          </w:tcPr>
          <w:p>
            <w:pPr>
              <w:spacing w:after="0"/>
              <w:rPr>
                <w:sz w:val="17"/>
                <w:szCs w:val="17"/>
                <w:color w:val="auto"/>
              </w:rPr>
            </w:pPr>
          </w:p>
        </w:tc>
        <w:tc>
          <w:tcPr>
            <w:tcW w:w="4660" w:type="dxa"/>
            <w:vAlign w:val="bottom"/>
            <w:tcBorders>
              <w:bottom w:val="single" w:sz="8" w:color="191919"/>
            </w:tcBorders>
          </w:tcPr>
          <w:p>
            <w:pPr>
              <w:ind w:left="2180"/>
              <w:spacing w:after="0"/>
              <w:rPr>
                <w:sz w:val="20"/>
                <w:szCs w:val="20"/>
                <w:color w:val="auto"/>
              </w:rPr>
            </w:pPr>
            <w:r>
              <w:rPr>
                <w:rFonts w:ascii="Times New Roman" w:cs="Times New Roman" w:eastAsia="Times New Roman" w:hAnsi="Times New Roman"/>
                <w:sz w:val="16"/>
                <w:szCs w:val="16"/>
                <w:b w:val="1"/>
                <w:bCs w:val="1"/>
                <w:color w:val="1E1E1E"/>
              </w:rPr>
              <w:t>Title</w:t>
            </w:r>
          </w:p>
        </w:tc>
        <w:tc>
          <w:tcPr>
            <w:tcW w:w="320" w:type="dxa"/>
            <w:vAlign w:val="bottom"/>
          </w:tcPr>
          <w:p>
            <w:pPr>
              <w:spacing w:after="0"/>
              <w:rPr>
                <w:sz w:val="17"/>
                <w:szCs w:val="17"/>
                <w:color w:val="auto"/>
              </w:rPr>
            </w:pPr>
          </w:p>
        </w:tc>
        <w:tc>
          <w:tcPr>
            <w:tcW w:w="2000" w:type="dxa"/>
            <w:vAlign w:val="bottom"/>
            <w:tcBorders>
              <w:bottom w:val="single" w:sz="8" w:color="191919"/>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Date</w:t>
            </w:r>
          </w:p>
        </w:tc>
        <w:tc>
          <w:tcPr>
            <w:tcW w:w="0" w:type="dxa"/>
            <w:vAlign w:val="bottom"/>
          </w:tcPr>
          <w:p>
            <w:pPr>
              <w:spacing w:after="0"/>
              <w:rPr>
                <w:sz w:val="1"/>
                <w:szCs w:val="1"/>
                <w:color w:val="auto"/>
              </w:rPr>
            </w:pPr>
          </w:p>
        </w:tc>
      </w:tr>
      <w:tr>
        <w:trPr>
          <w:trHeight w:val="383"/>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 CHARLES L. TREADWAY</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President, Chief Executive Officer and Director</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43"/>
        </w:trPr>
        <w:tc>
          <w:tcPr>
            <w:tcW w:w="3500" w:type="dxa"/>
            <w:vAlign w:val="bottom"/>
            <w:tcBorders>
              <w:bottom w:val="single" w:sz="8" w:color="191919"/>
            </w:tcBorders>
          </w:tcPr>
          <w:p>
            <w:pPr>
              <w:spacing w:after="0"/>
              <w:rPr>
                <w:sz w:val="3"/>
                <w:szCs w:val="3"/>
                <w:color w:val="auto"/>
              </w:rPr>
            </w:pPr>
          </w:p>
        </w:tc>
        <w:tc>
          <w:tcPr>
            <w:tcW w:w="49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0"/>
                <w:szCs w:val="20"/>
                <w:color w:val="1E1E1E"/>
              </w:rPr>
              <w:t>(Principal Executive Officer)</w:t>
            </w:r>
          </w:p>
        </w:tc>
        <w:tc>
          <w:tcPr>
            <w:tcW w:w="3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w w:val="99"/>
              </w:rPr>
              <w:t>Charles L. Treadway</w:t>
            </w:r>
          </w:p>
        </w:tc>
        <w:tc>
          <w:tcPr>
            <w:tcW w:w="49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/s/ KYLE D. LORENTZEN</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Executive Vice President and Chief Financial Officer</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21"/>
        </w:trPr>
        <w:tc>
          <w:tcPr>
            <w:tcW w:w="3500" w:type="dxa"/>
            <w:vAlign w:val="bottom"/>
            <w:tcBorders>
              <w:bottom w:val="single" w:sz="8" w:color="191919"/>
            </w:tcBorders>
          </w:tcPr>
          <w:p>
            <w:pPr>
              <w:spacing w:after="0" w:line="20" w:lineRule="exact"/>
              <w:rPr>
                <w:sz w:val="1"/>
                <w:szCs w:val="1"/>
                <w:color w:val="auto"/>
              </w:rPr>
            </w:pPr>
          </w:p>
        </w:tc>
        <w:tc>
          <w:tcPr>
            <w:tcW w:w="49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0"/>
                <w:szCs w:val="20"/>
                <w:color w:val="1E1E1E"/>
              </w:rPr>
              <w:t>(Principal Financial Officer)</w:t>
            </w: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Kyle D. Lorentzen</w:t>
            </w:r>
          </w:p>
        </w:tc>
        <w:tc>
          <w:tcPr>
            <w:tcW w:w="498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/s/ CHARLES A. GILSTRAP</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Senior Vice President and Chief Accounting Officer</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21"/>
        </w:trPr>
        <w:tc>
          <w:tcPr>
            <w:tcW w:w="3500" w:type="dxa"/>
            <w:vAlign w:val="bottom"/>
            <w:tcBorders>
              <w:bottom w:val="single" w:sz="8" w:color="191919"/>
            </w:tcBorders>
          </w:tcPr>
          <w:p>
            <w:pPr>
              <w:spacing w:after="0" w:line="20" w:lineRule="exact"/>
              <w:rPr>
                <w:sz w:val="1"/>
                <w:szCs w:val="1"/>
                <w:color w:val="auto"/>
              </w:rPr>
            </w:pPr>
          </w:p>
        </w:tc>
        <w:tc>
          <w:tcPr>
            <w:tcW w:w="49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0"/>
                <w:szCs w:val="20"/>
                <w:color w:val="1E1E1E"/>
              </w:rPr>
              <w:t>(Principal Accounting Officer)</w:t>
            </w: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Charles A. Gilstrap</w:t>
            </w:r>
          </w:p>
        </w:tc>
        <w:tc>
          <w:tcPr>
            <w:tcW w:w="498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3500" w:type="dxa"/>
            <w:vAlign w:val="bottom"/>
            <w:tcBorders>
              <w:bottom w:val="single" w:sz="8" w:color="191919"/>
            </w:tcBorders>
          </w:tcPr>
          <w:p>
            <w:pPr>
              <w:jc w:val="center"/>
              <w:spacing w:after="0"/>
              <w:rPr>
                <w:sz w:val="20"/>
                <w:szCs w:val="20"/>
                <w:color w:val="auto"/>
              </w:rPr>
            </w:pPr>
            <w:r>
              <w:rPr>
                <w:rFonts w:ascii="Times New Roman" w:cs="Times New Roman" w:eastAsia="Times New Roman" w:hAnsi="Times New Roman"/>
                <w:sz w:val="20"/>
                <w:szCs w:val="20"/>
                <w:color w:val="1E1E1E"/>
                <w:w w:val="99"/>
              </w:rPr>
              <w:t>/s/ CLAUDIUS E. WATTS IV</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Director and Chairman of the Board</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Claudius E. Watts IV</w:t>
            </w:r>
          </w:p>
        </w:tc>
        <w:tc>
          <w:tcPr>
            <w:tcW w:w="3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3500" w:type="dxa"/>
            <w:vAlign w:val="bottom"/>
            <w:tcBorders>
              <w:bottom w:val="single" w:sz="8" w:color="191919"/>
            </w:tcBorders>
          </w:tcPr>
          <w:p>
            <w:pPr>
              <w:jc w:val="center"/>
              <w:spacing w:after="0"/>
              <w:rPr>
                <w:sz w:val="20"/>
                <w:szCs w:val="20"/>
                <w:color w:val="auto"/>
              </w:rPr>
            </w:pPr>
            <w:r>
              <w:rPr>
                <w:rFonts w:ascii="Times New Roman" w:cs="Times New Roman" w:eastAsia="Times New Roman" w:hAnsi="Times New Roman"/>
                <w:sz w:val="20"/>
                <w:szCs w:val="20"/>
                <w:color w:val="1E1E1E"/>
              </w:rPr>
              <w:t>/s/ STEPHEN C. GRAY</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Director</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Stephen C. Gray</w:t>
            </w:r>
          </w:p>
        </w:tc>
        <w:tc>
          <w:tcPr>
            <w:tcW w:w="3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3500" w:type="dxa"/>
            <w:vAlign w:val="bottom"/>
            <w:tcBorders>
              <w:bottom w:val="single" w:sz="8" w:color="191919"/>
            </w:tcBorders>
          </w:tcPr>
          <w:p>
            <w:pPr>
              <w:jc w:val="center"/>
              <w:spacing w:after="0"/>
              <w:rPr>
                <w:sz w:val="20"/>
                <w:szCs w:val="20"/>
                <w:color w:val="auto"/>
              </w:rPr>
            </w:pPr>
            <w:r>
              <w:rPr>
                <w:rFonts w:ascii="Times New Roman" w:cs="Times New Roman" w:eastAsia="Times New Roman" w:hAnsi="Times New Roman"/>
                <w:sz w:val="20"/>
                <w:szCs w:val="20"/>
                <w:color w:val="1E1E1E"/>
                <w:w w:val="99"/>
              </w:rPr>
              <w:t>/s/ L. WILLIAM KRAUSE</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Director</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L. William Krause</w:t>
            </w:r>
          </w:p>
        </w:tc>
        <w:tc>
          <w:tcPr>
            <w:tcW w:w="3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3500" w:type="dxa"/>
            <w:vAlign w:val="bottom"/>
            <w:tcBorders>
              <w:bottom w:val="single" w:sz="8" w:color="191919"/>
            </w:tcBorders>
          </w:tcPr>
          <w:p>
            <w:pPr>
              <w:jc w:val="center"/>
              <w:spacing w:after="0"/>
              <w:rPr>
                <w:sz w:val="20"/>
                <w:szCs w:val="20"/>
                <w:color w:val="auto"/>
              </w:rPr>
            </w:pPr>
            <w:r>
              <w:rPr>
                <w:rFonts w:ascii="Times New Roman" w:cs="Times New Roman" w:eastAsia="Times New Roman" w:hAnsi="Times New Roman"/>
                <w:sz w:val="20"/>
                <w:szCs w:val="20"/>
                <w:color w:val="1E1E1E"/>
              </w:rPr>
              <w:t>/s/ JOANNE M. MAGUIRE</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Director</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Joanne M. Maguire</w:t>
            </w:r>
          </w:p>
        </w:tc>
        <w:tc>
          <w:tcPr>
            <w:tcW w:w="3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3500" w:type="dxa"/>
            <w:vAlign w:val="bottom"/>
            <w:tcBorders>
              <w:bottom w:val="single" w:sz="8" w:color="191919"/>
            </w:tcBorders>
          </w:tcPr>
          <w:p>
            <w:pPr>
              <w:jc w:val="center"/>
              <w:spacing w:after="0"/>
              <w:rPr>
                <w:sz w:val="20"/>
                <w:szCs w:val="20"/>
                <w:color w:val="auto"/>
              </w:rPr>
            </w:pPr>
            <w:r>
              <w:rPr>
                <w:rFonts w:ascii="Times New Roman" w:cs="Times New Roman" w:eastAsia="Times New Roman" w:hAnsi="Times New Roman"/>
                <w:sz w:val="20"/>
                <w:szCs w:val="20"/>
                <w:color w:val="1E1E1E"/>
              </w:rPr>
              <w:t>/s/ THOMAS J. MANNING</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Director</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Thomas J. Manning</w:t>
            </w:r>
          </w:p>
        </w:tc>
        <w:tc>
          <w:tcPr>
            <w:tcW w:w="3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3500" w:type="dxa"/>
            <w:vAlign w:val="bottom"/>
            <w:tcBorders>
              <w:bottom w:val="single" w:sz="8" w:color="191919"/>
            </w:tcBorders>
          </w:tcPr>
          <w:p>
            <w:pPr>
              <w:jc w:val="center"/>
              <w:spacing w:after="0"/>
              <w:rPr>
                <w:sz w:val="20"/>
                <w:szCs w:val="20"/>
                <w:color w:val="auto"/>
              </w:rPr>
            </w:pPr>
            <w:r>
              <w:rPr>
                <w:rFonts w:ascii="Times New Roman" w:cs="Times New Roman" w:eastAsia="Times New Roman" w:hAnsi="Times New Roman"/>
                <w:sz w:val="20"/>
                <w:szCs w:val="20"/>
                <w:color w:val="1E1E1E"/>
              </w:rPr>
              <w:t>/s/ DERRICK A. ROMAN</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Director</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Derrick A. Roman</w:t>
            </w:r>
          </w:p>
        </w:tc>
        <w:tc>
          <w:tcPr>
            <w:tcW w:w="3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3500" w:type="dxa"/>
            <w:vAlign w:val="bottom"/>
            <w:tcBorders>
              <w:bottom w:val="single" w:sz="8" w:color="191919"/>
            </w:tcBorders>
          </w:tcPr>
          <w:p>
            <w:pPr>
              <w:jc w:val="center"/>
              <w:spacing w:after="0"/>
              <w:rPr>
                <w:sz w:val="20"/>
                <w:szCs w:val="20"/>
                <w:color w:val="auto"/>
              </w:rPr>
            </w:pPr>
            <w:r>
              <w:rPr>
                <w:rFonts w:ascii="Times New Roman" w:cs="Times New Roman" w:eastAsia="Times New Roman" w:hAnsi="Times New Roman"/>
                <w:sz w:val="20"/>
                <w:szCs w:val="20"/>
                <w:color w:val="1E1E1E"/>
              </w:rPr>
              <w:t>/s/ TIMOTHY T. YATES</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1E1E1E"/>
              </w:rPr>
              <w:t>Director</w:t>
            </w: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February 25, 2026</w:t>
            </w:r>
          </w:p>
        </w:tc>
        <w:tc>
          <w:tcPr>
            <w:tcW w:w="0" w:type="dxa"/>
            <w:vAlign w:val="bottom"/>
          </w:tcPr>
          <w:p>
            <w:pPr>
              <w:spacing w:after="0"/>
              <w:rPr>
                <w:sz w:val="1"/>
                <w:szCs w:val="1"/>
                <w:color w:val="auto"/>
              </w:rPr>
            </w:pP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Timothy T. Yates</w:t>
            </w:r>
          </w:p>
        </w:tc>
        <w:tc>
          <w:tcPr>
            <w:tcW w:w="3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360" w:top="123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108</w:t>
      </w:r>
    </w:p>
    <w:p>
      <w:pPr>
        <w:sectPr>
          <w:pgSz w:w="11880" w:h="15480" w:orient="portrait"/>
          <w:cols w:equalWidth="0" w:num="1">
            <w:col w:w="10800"/>
          </w:cols>
          <w:pgMar w:left="360" w:top="1235" w:right="720"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color w:val="auto"/>
        </w:rPr>
        <w:t>Board of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Claudius (Bud) E. Watts IV</w:t>
      </w:r>
    </w:p>
    <w:p>
      <w:pPr>
        <w:spacing w:after="0" w:line="52" w:lineRule="exact"/>
        <w:rPr>
          <w:sz w:val="20"/>
          <w:szCs w:val="20"/>
          <w:color w:val="auto"/>
        </w:rPr>
      </w:pPr>
    </w:p>
    <w:p>
      <w:pPr>
        <w:ind w:right="260"/>
        <w:spacing w:after="0" w:line="316" w:lineRule="auto"/>
        <w:rPr>
          <w:sz w:val="20"/>
          <w:szCs w:val="20"/>
          <w:color w:val="auto"/>
        </w:rPr>
      </w:pPr>
      <w:r>
        <w:rPr>
          <w:rFonts w:ascii="Arial" w:cs="Arial" w:eastAsia="Arial" w:hAnsi="Arial"/>
          <w:sz w:val="16"/>
          <w:szCs w:val="16"/>
          <w:color w:val="auto"/>
        </w:rPr>
        <w:t>Chairman, Vistance Networks Private Investor and Founding Partner Meeting Street Capital, LLC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Charles L. Treadway ¹</w:t>
      </w:r>
    </w:p>
    <w:p>
      <w:pPr>
        <w:spacing w:after="0" w:line="52" w:lineRule="exact"/>
        <w:rPr>
          <w:sz w:val="20"/>
          <w:szCs w:val="20"/>
          <w:color w:val="auto"/>
        </w:rPr>
      </w:pPr>
    </w:p>
    <w:p>
      <w:pPr>
        <w:ind w:right="300"/>
        <w:spacing w:after="0" w:line="320" w:lineRule="auto"/>
        <w:rPr>
          <w:sz w:val="20"/>
          <w:szCs w:val="20"/>
          <w:color w:val="auto"/>
        </w:rPr>
      </w:pPr>
      <w:r>
        <w:rPr>
          <w:rFonts w:ascii="Arial" w:cs="Arial" w:eastAsia="Arial" w:hAnsi="Arial"/>
          <w:sz w:val="16"/>
          <w:szCs w:val="16"/>
          <w:color w:val="auto"/>
        </w:rPr>
        <w:t>President and Chief Executive Officer, Vistance Networks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Stephen (Steve) C. Gray</w:t>
      </w:r>
    </w:p>
    <w:p>
      <w:pPr>
        <w:spacing w:after="0" w:line="52" w:lineRule="exact"/>
        <w:rPr>
          <w:sz w:val="20"/>
          <w:szCs w:val="20"/>
          <w:color w:val="auto"/>
        </w:rPr>
      </w:pPr>
    </w:p>
    <w:p>
      <w:pPr>
        <w:ind w:right="140"/>
        <w:spacing w:after="0" w:line="316" w:lineRule="auto"/>
        <w:rPr>
          <w:sz w:val="20"/>
          <w:szCs w:val="20"/>
          <w:color w:val="auto"/>
        </w:rPr>
      </w:pPr>
      <w:r>
        <w:rPr>
          <w:rFonts w:ascii="Arial" w:cs="Arial" w:eastAsia="Arial" w:hAnsi="Arial"/>
          <w:sz w:val="16"/>
          <w:szCs w:val="16"/>
          <w:color w:val="auto"/>
        </w:rPr>
        <w:t>Chair of Compensation Committee Founder and Chairman of Gray Venture Partners, LLC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 William (Bill) Krause</w:t>
      </w:r>
    </w:p>
    <w:p>
      <w:pPr>
        <w:spacing w:after="0" w:line="52"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color w:val="auto"/>
        </w:rPr>
        <w:t>Compensation Committee Member and Nominating and Corporate Governance Committee Member, Former Chairman and CEO of 3Com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Joanne M. Maguire</w:t>
      </w:r>
    </w:p>
    <w:p>
      <w:pPr>
        <w:spacing w:after="0" w:line="52" w:lineRule="exact"/>
        <w:rPr>
          <w:sz w:val="20"/>
          <w:szCs w:val="20"/>
          <w:color w:val="auto"/>
        </w:rPr>
      </w:pPr>
    </w:p>
    <w:p>
      <w:pPr>
        <w:ind w:right="300"/>
        <w:spacing w:after="0" w:line="316" w:lineRule="auto"/>
        <w:rPr>
          <w:sz w:val="20"/>
          <w:szCs w:val="20"/>
          <w:color w:val="auto"/>
        </w:rPr>
      </w:pPr>
      <w:r>
        <w:rPr>
          <w:rFonts w:ascii="Arial" w:cs="Arial" w:eastAsia="Arial" w:hAnsi="Arial"/>
          <w:sz w:val="16"/>
          <w:szCs w:val="16"/>
          <w:color w:val="auto"/>
        </w:rPr>
        <w:t>Chair of Nominating and Corporate Governance Committee, Former EVP, Lockheed Martin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Thomas J. Manning</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Member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Cresco Labs,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Derrick A. Roman</w:t>
      </w:r>
    </w:p>
    <w:p>
      <w:pPr>
        <w:spacing w:after="0" w:line="52"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Chair of Audit Committee and Nominating and Corporate Governance Committee Member, Former Partner, PricewaterhouseCoopers LLP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Timothy T. Yates</w:t>
      </w:r>
    </w:p>
    <w:p>
      <w:pPr>
        <w:spacing w:after="0" w:line="52" w:lineRule="exact"/>
        <w:rPr>
          <w:sz w:val="20"/>
          <w:szCs w:val="20"/>
          <w:color w:val="auto"/>
        </w:rPr>
      </w:pPr>
    </w:p>
    <w:p>
      <w:pPr>
        <w:ind w:right="300"/>
        <w:spacing w:after="0" w:line="315" w:lineRule="auto"/>
        <w:rPr>
          <w:sz w:val="20"/>
          <w:szCs w:val="20"/>
          <w:color w:val="auto"/>
        </w:rPr>
      </w:pPr>
      <w:r>
        <w:rPr>
          <w:rFonts w:ascii="Arial" w:cs="Arial" w:eastAsia="Arial" w:hAnsi="Arial"/>
          <w:sz w:val="16"/>
          <w:szCs w:val="16"/>
          <w:color w:val="auto"/>
        </w:rPr>
        <w:t>Lead Independent Director and Audit Committee Member Former President and Chief Executive Officer, Monster Worldwide, Inc.</w:t>
      </w:r>
    </w:p>
    <w:p>
      <w:pPr>
        <w:spacing w:after="0" w:line="20" w:lineRule="exact"/>
        <w:rPr>
          <w:sz w:val="20"/>
          <w:szCs w:val="20"/>
          <w:color w:val="auto"/>
        </w:rPr>
      </w:pPr>
      <w:r>
        <w:rPr>
          <w:sz w:val="20"/>
          <w:szCs w:val="20"/>
          <w:color w:val="auto"/>
        </w:rPr>
        <w:br w:type="column"/>
      </w:r>
    </w:p>
    <w:p>
      <w:pPr>
        <w:ind w:left="10"/>
        <w:spacing w:after="0"/>
        <w:rPr>
          <w:sz w:val="20"/>
          <w:szCs w:val="20"/>
          <w:color w:val="auto"/>
        </w:rPr>
      </w:pPr>
      <w:r>
        <w:rPr>
          <w:rFonts w:ascii="Arial" w:cs="Arial" w:eastAsia="Arial" w:hAnsi="Arial"/>
          <w:sz w:val="18"/>
          <w:szCs w:val="18"/>
          <w:color w:val="auto"/>
        </w:rPr>
        <w:t>Management team</w:t>
      </w:r>
    </w:p>
    <w:p>
      <w:pPr>
        <w:spacing w:after="0" w:line="284" w:lineRule="exact"/>
        <w:rPr>
          <w:sz w:val="20"/>
          <w:szCs w:val="20"/>
          <w:color w:val="auto"/>
        </w:rPr>
      </w:pPr>
    </w:p>
    <w:p>
      <w:pPr>
        <w:ind w:left="10"/>
        <w:spacing w:after="0"/>
        <w:rPr>
          <w:sz w:val="20"/>
          <w:szCs w:val="20"/>
          <w:color w:val="auto"/>
        </w:rPr>
      </w:pPr>
      <w:r>
        <w:rPr>
          <w:rFonts w:ascii="Arial" w:cs="Arial" w:eastAsia="Arial" w:hAnsi="Arial"/>
          <w:sz w:val="18"/>
          <w:szCs w:val="18"/>
          <w:color w:val="auto"/>
        </w:rPr>
        <w:t>Charles L. Treadway ¹</w:t>
      </w:r>
    </w:p>
    <w:p>
      <w:pPr>
        <w:spacing w:after="0" w:line="52" w:lineRule="exact"/>
        <w:rPr>
          <w:sz w:val="20"/>
          <w:szCs w:val="20"/>
          <w:color w:val="auto"/>
        </w:rPr>
      </w:pPr>
    </w:p>
    <w:p>
      <w:pPr>
        <w:ind w:left="10"/>
        <w:spacing w:after="0"/>
        <w:rPr>
          <w:sz w:val="20"/>
          <w:szCs w:val="20"/>
          <w:color w:val="auto"/>
        </w:rPr>
      </w:pPr>
      <w:r>
        <w:rPr>
          <w:rFonts w:ascii="Arial" w:cs="Arial" w:eastAsia="Arial" w:hAnsi="Arial"/>
          <w:sz w:val="15"/>
          <w:szCs w:val="15"/>
          <w:color w:val="auto"/>
        </w:rPr>
        <w:t>President and Chief Executive Officer</w:t>
      </w:r>
    </w:p>
    <w:p>
      <w:pPr>
        <w:spacing w:after="0" w:line="319" w:lineRule="exact"/>
        <w:rPr>
          <w:sz w:val="20"/>
          <w:szCs w:val="20"/>
          <w:color w:val="auto"/>
        </w:rPr>
      </w:pPr>
    </w:p>
    <w:p>
      <w:pPr>
        <w:ind w:left="10"/>
        <w:spacing w:after="0"/>
        <w:rPr>
          <w:sz w:val="20"/>
          <w:szCs w:val="20"/>
          <w:color w:val="auto"/>
        </w:rPr>
      </w:pPr>
      <w:r>
        <w:rPr>
          <w:rFonts w:ascii="Arial" w:cs="Arial" w:eastAsia="Arial" w:hAnsi="Arial"/>
          <w:sz w:val="18"/>
          <w:szCs w:val="18"/>
          <w:color w:val="auto"/>
        </w:rPr>
        <w:t>Kyle D. Lorentzen ¹</w:t>
      </w:r>
    </w:p>
    <w:p>
      <w:pPr>
        <w:spacing w:after="0" w:line="52" w:lineRule="exact"/>
        <w:rPr>
          <w:sz w:val="20"/>
          <w:szCs w:val="20"/>
          <w:color w:val="auto"/>
        </w:rPr>
      </w:pPr>
    </w:p>
    <w:p>
      <w:pPr>
        <w:ind w:left="10" w:right="580"/>
        <w:spacing w:after="0" w:line="320" w:lineRule="auto"/>
        <w:rPr>
          <w:sz w:val="20"/>
          <w:szCs w:val="20"/>
          <w:color w:val="auto"/>
        </w:rPr>
      </w:pPr>
      <w:r>
        <w:rPr>
          <w:rFonts w:ascii="Arial" w:cs="Arial" w:eastAsia="Arial" w:hAnsi="Arial"/>
          <w:sz w:val="16"/>
          <w:szCs w:val="16"/>
          <w:color w:val="auto"/>
        </w:rPr>
        <w:t>Executive Vice President and Chief Financial Officer</w:t>
      </w:r>
    </w:p>
    <w:p>
      <w:pPr>
        <w:spacing w:after="0" w:line="241" w:lineRule="exact"/>
        <w:rPr>
          <w:sz w:val="20"/>
          <w:szCs w:val="20"/>
          <w:color w:val="auto"/>
        </w:rPr>
      </w:pPr>
    </w:p>
    <w:p>
      <w:pPr>
        <w:ind w:left="10"/>
        <w:spacing w:after="0"/>
        <w:rPr>
          <w:sz w:val="20"/>
          <w:szCs w:val="20"/>
          <w:color w:val="auto"/>
        </w:rPr>
      </w:pPr>
      <w:r>
        <w:rPr>
          <w:rFonts w:ascii="Arial" w:cs="Arial" w:eastAsia="Arial" w:hAnsi="Arial"/>
          <w:sz w:val="18"/>
          <w:szCs w:val="18"/>
          <w:color w:val="auto"/>
        </w:rPr>
        <w:t>Krista Bowen ¹</w:t>
      </w:r>
    </w:p>
    <w:p>
      <w:pPr>
        <w:spacing w:after="0" w:line="52" w:lineRule="exact"/>
        <w:rPr>
          <w:sz w:val="20"/>
          <w:szCs w:val="20"/>
          <w:color w:val="auto"/>
        </w:rPr>
      </w:pPr>
    </w:p>
    <w:p>
      <w:pPr>
        <w:ind w:left="10"/>
        <w:spacing w:after="0"/>
        <w:rPr>
          <w:sz w:val="20"/>
          <w:szCs w:val="20"/>
          <w:color w:val="auto"/>
        </w:rPr>
      </w:pPr>
      <w:r>
        <w:rPr>
          <w:rFonts w:ascii="Arial" w:cs="Arial" w:eastAsia="Arial" w:hAnsi="Arial"/>
          <w:sz w:val="16"/>
          <w:szCs w:val="16"/>
          <w:color w:val="auto"/>
        </w:rPr>
        <w:t>Senior Vice President,</w:t>
      </w:r>
    </w:p>
    <w:p>
      <w:pPr>
        <w:spacing w:after="0" w:line="56" w:lineRule="exact"/>
        <w:rPr>
          <w:sz w:val="20"/>
          <w:szCs w:val="20"/>
          <w:color w:val="auto"/>
        </w:rPr>
      </w:pPr>
    </w:p>
    <w:p>
      <w:pPr>
        <w:ind w:left="10"/>
        <w:spacing w:after="0"/>
        <w:rPr>
          <w:sz w:val="20"/>
          <w:szCs w:val="20"/>
          <w:color w:val="auto"/>
        </w:rPr>
      </w:pPr>
      <w:r>
        <w:rPr>
          <w:rFonts w:ascii="Arial" w:cs="Arial" w:eastAsia="Arial" w:hAnsi="Arial"/>
          <w:sz w:val="16"/>
          <w:szCs w:val="16"/>
          <w:color w:val="auto"/>
        </w:rPr>
        <w:t>General Counsel,</w:t>
      </w:r>
    </w:p>
    <w:p>
      <w:pPr>
        <w:spacing w:after="0" w:line="56" w:lineRule="exact"/>
        <w:rPr>
          <w:sz w:val="20"/>
          <w:szCs w:val="20"/>
          <w:color w:val="auto"/>
        </w:rPr>
      </w:pPr>
    </w:p>
    <w:p>
      <w:pPr>
        <w:ind w:left="10"/>
        <w:spacing w:after="0"/>
        <w:rPr>
          <w:sz w:val="20"/>
          <w:szCs w:val="20"/>
          <w:color w:val="auto"/>
        </w:rPr>
      </w:pPr>
      <w:r>
        <w:rPr>
          <w:rFonts w:ascii="Arial" w:cs="Arial" w:eastAsia="Arial" w:hAnsi="Arial"/>
          <w:sz w:val="16"/>
          <w:szCs w:val="16"/>
          <w:color w:val="auto"/>
        </w:rPr>
        <w:t>Chief Administrative Officer</w:t>
      </w:r>
    </w:p>
    <w:p>
      <w:pPr>
        <w:spacing w:after="0" w:line="56" w:lineRule="exact"/>
        <w:rPr>
          <w:sz w:val="20"/>
          <w:szCs w:val="20"/>
          <w:color w:val="auto"/>
        </w:rPr>
      </w:pPr>
    </w:p>
    <w:p>
      <w:pPr>
        <w:ind w:left="10"/>
        <w:spacing w:after="0"/>
        <w:rPr>
          <w:sz w:val="20"/>
          <w:szCs w:val="20"/>
          <w:color w:val="auto"/>
        </w:rPr>
      </w:pPr>
      <w:r>
        <w:rPr>
          <w:rFonts w:ascii="Arial" w:cs="Arial" w:eastAsia="Arial" w:hAnsi="Arial"/>
          <w:sz w:val="16"/>
          <w:szCs w:val="16"/>
          <w:color w:val="auto"/>
        </w:rPr>
        <w:t>and Secretary</w:t>
      </w:r>
    </w:p>
    <w:p>
      <w:pPr>
        <w:spacing w:after="0" w:line="307" w:lineRule="exact"/>
        <w:rPr>
          <w:sz w:val="20"/>
          <w:szCs w:val="20"/>
          <w:color w:val="auto"/>
        </w:rPr>
      </w:pPr>
    </w:p>
    <w:p>
      <w:pPr>
        <w:ind w:left="10"/>
        <w:spacing w:after="0"/>
        <w:rPr>
          <w:sz w:val="20"/>
          <w:szCs w:val="20"/>
          <w:color w:val="auto"/>
        </w:rPr>
      </w:pPr>
      <w:r>
        <w:rPr>
          <w:rFonts w:ascii="Arial" w:cs="Arial" w:eastAsia="Arial" w:hAnsi="Arial"/>
          <w:sz w:val="18"/>
          <w:szCs w:val="18"/>
          <w:color w:val="auto"/>
        </w:rPr>
        <w:t>Charles A. Gilstrap ¹</w:t>
      </w:r>
    </w:p>
    <w:p>
      <w:pPr>
        <w:spacing w:after="0" w:line="52" w:lineRule="exact"/>
        <w:rPr>
          <w:sz w:val="20"/>
          <w:szCs w:val="20"/>
          <w:color w:val="auto"/>
        </w:rPr>
      </w:pPr>
    </w:p>
    <w:p>
      <w:pPr>
        <w:ind w:left="10" w:right="300"/>
        <w:spacing w:after="0" w:line="358" w:lineRule="auto"/>
        <w:rPr>
          <w:sz w:val="20"/>
          <w:szCs w:val="20"/>
          <w:color w:val="auto"/>
        </w:rPr>
      </w:pPr>
      <w:r>
        <w:rPr>
          <w:rFonts w:ascii="Arial" w:cs="Arial" w:eastAsia="Arial" w:hAnsi="Arial"/>
          <w:sz w:val="15"/>
          <w:szCs w:val="15"/>
          <w:color w:val="auto"/>
        </w:rPr>
        <w:t>Senior Vice President, Treasury, Tax and Cheif Accounting Officer</w:t>
      </w:r>
    </w:p>
    <w:p>
      <w:pPr>
        <w:spacing w:after="0" w:line="217" w:lineRule="exact"/>
        <w:rPr>
          <w:sz w:val="20"/>
          <w:szCs w:val="20"/>
          <w:color w:val="auto"/>
        </w:rPr>
      </w:pPr>
    </w:p>
    <w:p>
      <w:pPr>
        <w:ind w:left="10"/>
        <w:spacing w:after="0"/>
        <w:rPr>
          <w:sz w:val="20"/>
          <w:szCs w:val="20"/>
          <w:color w:val="auto"/>
        </w:rPr>
      </w:pPr>
      <w:r>
        <w:rPr>
          <w:rFonts w:ascii="Arial" w:cs="Arial" w:eastAsia="Arial" w:hAnsi="Arial"/>
          <w:sz w:val="18"/>
          <w:szCs w:val="18"/>
          <w:color w:val="auto"/>
        </w:rPr>
        <w:t>Bart Giordiano ¹</w:t>
      </w:r>
    </w:p>
    <w:p>
      <w:pPr>
        <w:spacing w:after="0" w:line="52" w:lineRule="exact"/>
        <w:rPr>
          <w:sz w:val="20"/>
          <w:szCs w:val="20"/>
          <w:color w:val="auto"/>
        </w:rPr>
      </w:pPr>
    </w:p>
    <w:p>
      <w:pPr>
        <w:ind w:left="10" w:right="80"/>
        <w:spacing w:after="0" w:line="320" w:lineRule="auto"/>
        <w:rPr>
          <w:sz w:val="20"/>
          <w:szCs w:val="20"/>
          <w:color w:val="auto"/>
        </w:rPr>
      </w:pPr>
      <w:r>
        <w:rPr>
          <w:rFonts w:ascii="Arial" w:cs="Arial" w:eastAsia="Arial" w:hAnsi="Arial"/>
          <w:sz w:val="16"/>
          <w:szCs w:val="16"/>
          <w:color w:val="auto"/>
        </w:rPr>
        <w:t>Senior Vice President and President, RUCKUS Networks</w:t>
      </w:r>
    </w:p>
    <w:p>
      <w:pPr>
        <w:spacing w:after="0" w:line="241" w:lineRule="exact"/>
        <w:rPr>
          <w:sz w:val="20"/>
          <w:szCs w:val="20"/>
          <w:color w:val="auto"/>
        </w:rPr>
      </w:pPr>
    </w:p>
    <w:p>
      <w:pPr>
        <w:ind w:left="10"/>
        <w:spacing w:after="0"/>
        <w:rPr>
          <w:sz w:val="20"/>
          <w:szCs w:val="20"/>
          <w:color w:val="auto"/>
        </w:rPr>
      </w:pPr>
      <w:r>
        <w:rPr>
          <w:rFonts w:ascii="Arial" w:cs="Arial" w:eastAsia="Arial" w:hAnsi="Arial"/>
          <w:sz w:val="18"/>
          <w:szCs w:val="18"/>
          <w:color w:val="auto"/>
        </w:rPr>
        <w:t>Guy Sucharczuk ¹</w:t>
      </w:r>
    </w:p>
    <w:p>
      <w:pPr>
        <w:spacing w:after="0" w:line="52" w:lineRule="exact"/>
        <w:rPr>
          <w:sz w:val="20"/>
          <w:szCs w:val="20"/>
          <w:color w:val="auto"/>
        </w:rPr>
      </w:pPr>
    </w:p>
    <w:p>
      <w:pPr>
        <w:ind w:left="10" w:right="80"/>
        <w:spacing w:after="0" w:line="320" w:lineRule="auto"/>
        <w:rPr>
          <w:sz w:val="20"/>
          <w:szCs w:val="20"/>
          <w:color w:val="auto"/>
        </w:rPr>
      </w:pPr>
      <w:r>
        <w:rPr>
          <w:rFonts w:ascii="Arial" w:cs="Arial" w:eastAsia="Arial" w:hAnsi="Arial"/>
          <w:sz w:val="16"/>
          <w:szCs w:val="16"/>
          <w:color w:val="auto"/>
        </w:rPr>
        <w:t>Senior Vice President and President, Aurora Networks</w:t>
      </w:r>
    </w:p>
    <w:p>
      <w:pPr>
        <w:spacing w:after="0" w:line="241" w:lineRule="exact"/>
        <w:rPr>
          <w:sz w:val="20"/>
          <w:szCs w:val="20"/>
          <w:color w:val="auto"/>
        </w:rPr>
      </w:pPr>
    </w:p>
    <w:p>
      <w:pPr>
        <w:ind w:left="10"/>
        <w:spacing w:after="0"/>
        <w:rPr>
          <w:sz w:val="20"/>
          <w:szCs w:val="20"/>
          <w:color w:val="auto"/>
        </w:rPr>
      </w:pPr>
      <w:r>
        <w:rPr>
          <w:rFonts w:ascii="Arial" w:cs="Arial" w:eastAsia="Arial" w:hAnsi="Arial"/>
          <w:sz w:val="18"/>
          <w:szCs w:val="18"/>
          <w:color w:val="auto"/>
        </w:rPr>
        <w:t>Praveen Jonnala</w:t>
      </w:r>
    </w:p>
    <w:p>
      <w:pPr>
        <w:spacing w:after="0" w:line="52" w:lineRule="exact"/>
        <w:rPr>
          <w:sz w:val="20"/>
          <w:szCs w:val="20"/>
          <w:color w:val="auto"/>
        </w:rPr>
      </w:pPr>
    </w:p>
    <w:p>
      <w:pPr>
        <w:ind w:left="10"/>
        <w:spacing w:after="0"/>
        <w:rPr>
          <w:sz w:val="20"/>
          <w:szCs w:val="20"/>
          <w:color w:val="auto"/>
        </w:rPr>
      </w:pPr>
      <w:r>
        <w:rPr>
          <w:rFonts w:ascii="Arial" w:cs="Arial" w:eastAsia="Arial" w:hAnsi="Arial"/>
          <w:sz w:val="16"/>
          <w:szCs w:val="16"/>
          <w:color w:val="auto"/>
        </w:rPr>
        <w:t>Senior Vice President and</w:t>
      </w:r>
    </w:p>
    <w:p>
      <w:pPr>
        <w:spacing w:after="0" w:line="56" w:lineRule="exact"/>
        <w:rPr>
          <w:sz w:val="20"/>
          <w:szCs w:val="20"/>
          <w:color w:val="auto"/>
        </w:rPr>
      </w:pPr>
    </w:p>
    <w:p>
      <w:pPr>
        <w:ind w:left="10"/>
        <w:spacing w:after="0"/>
        <w:rPr>
          <w:sz w:val="20"/>
          <w:szCs w:val="20"/>
          <w:color w:val="auto"/>
        </w:rPr>
      </w:pPr>
      <w:r>
        <w:rPr>
          <w:rFonts w:ascii="Arial" w:cs="Arial" w:eastAsia="Arial" w:hAnsi="Arial"/>
          <w:sz w:val="16"/>
          <w:szCs w:val="16"/>
          <w:color w:val="auto"/>
        </w:rPr>
        <w:t>Chief Information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50" w:hanging="150"/>
        <w:spacing w:after="0"/>
        <w:tabs>
          <w:tab w:leader="none" w:pos="150" w:val="left"/>
        </w:tabs>
        <w:numPr>
          <w:ilvl w:val="0"/>
          <w:numId w:val="87"/>
        </w:numPr>
        <w:rPr>
          <w:rFonts w:ascii="Arial" w:cs="Arial" w:eastAsia="Arial" w:hAnsi="Arial"/>
          <w:sz w:val="8"/>
          <w:szCs w:val="8"/>
          <w:color w:val="auto"/>
        </w:rPr>
      </w:pPr>
      <w:r>
        <w:rPr>
          <w:rFonts w:ascii="Arial" w:cs="Arial" w:eastAsia="Arial" w:hAnsi="Arial"/>
          <w:sz w:val="14"/>
          <w:szCs w:val="14"/>
          <w:color w:val="auto"/>
        </w:rPr>
        <w:t>Section 16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Investor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Annual meeting</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May 7, 2026, 1:00 pm ET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Virtual at ir.vistancenetworks.com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52" w:lineRule="exact"/>
        <w:rPr>
          <w:sz w:val="20"/>
          <w:szCs w:val="20"/>
          <w:color w:val="auto"/>
        </w:rPr>
      </w:pPr>
    </w:p>
    <w:p>
      <w:pPr>
        <w:ind w:right="800"/>
        <w:spacing w:after="0" w:line="315" w:lineRule="auto"/>
        <w:rPr>
          <w:sz w:val="20"/>
          <w:szCs w:val="20"/>
          <w:color w:val="auto"/>
        </w:rPr>
      </w:pPr>
      <w:r>
        <w:rPr>
          <w:rFonts w:ascii="Arial" w:cs="Arial" w:eastAsia="Arial" w:hAnsi="Arial"/>
          <w:sz w:val="16"/>
          <w:szCs w:val="16"/>
          <w:color w:val="auto"/>
        </w:rPr>
        <w:t>Vistance Networks, Inc. 2601 Telecom Parkway, Richardson, TX 75082 www.vistancenetworks.com +1-972-952-9700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w:t>
      </w:r>
    </w:p>
    <w:p>
      <w:pPr>
        <w:spacing w:after="0" w:line="52" w:lineRule="exact"/>
        <w:rPr>
          <w:sz w:val="20"/>
          <w:szCs w:val="20"/>
          <w:color w:val="auto"/>
        </w:rPr>
      </w:pPr>
    </w:p>
    <w:p>
      <w:pPr>
        <w:ind w:right="340"/>
        <w:spacing w:after="0" w:line="313" w:lineRule="auto"/>
        <w:rPr>
          <w:sz w:val="20"/>
          <w:szCs w:val="20"/>
          <w:color w:val="auto"/>
        </w:rPr>
      </w:pPr>
      <w:r>
        <w:rPr>
          <w:rFonts w:ascii="Arial" w:cs="Arial" w:eastAsia="Arial" w:hAnsi="Arial"/>
          <w:sz w:val="16"/>
          <w:szCs w:val="16"/>
          <w:color w:val="auto"/>
        </w:rPr>
        <w:t>Equiniti Trust Company, LLC Shareholder Services Department 48 Wall Street, Floor 23 New York, NY 10005</w:t>
      </w:r>
    </w:p>
    <w:p>
      <w:pPr>
        <w:spacing w:after="0"/>
        <w:rPr>
          <w:sz w:val="20"/>
          <w:szCs w:val="20"/>
          <w:color w:val="auto"/>
        </w:rPr>
      </w:pPr>
      <w:r>
        <w:rPr>
          <w:rFonts w:ascii="Arial" w:cs="Arial" w:eastAsia="Arial" w:hAnsi="Arial"/>
          <w:sz w:val="16"/>
          <w:szCs w:val="16"/>
          <w:color w:val="auto"/>
        </w:rPr>
        <w:t>help@ASTequiniti.com</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+1 718.921.8124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800.937.5449 (U.S. only)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www.equiniti.com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Jenny Thompson</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52" w:lineRule="exact"/>
        <w:rPr>
          <w:sz w:val="20"/>
          <w:szCs w:val="20"/>
          <w:color w:val="auto"/>
        </w:rPr>
      </w:pPr>
    </w:p>
    <w:p>
      <w:pPr>
        <w:ind w:right="940"/>
        <w:spacing w:after="0" w:line="320" w:lineRule="auto"/>
        <w:rPr>
          <w:sz w:val="20"/>
          <w:szCs w:val="20"/>
          <w:color w:val="auto"/>
        </w:rPr>
      </w:pPr>
      <w:r>
        <w:rPr>
          <w:rFonts w:ascii="Arial" w:cs="Arial" w:eastAsia="Arial" w:hAnsi="Arial"/>
          <w:sz w:val="16"/>
          <w:szCs w:val="16"/>
          <w:color w:val="auto"/>
        </w:rPr>
        <w:t>Trades on NASDAQ under the symbol “VISN”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85" w:lineRule="auto"/>
        <w:rPr>
          <w:sz w:val="20"/>
          <w:szCs w:val="20"/>
          <w:color w:val="auto"/>
        </w:rPr>
      </w:pPr>
      <w:r>
        <w:rPr>
          <w:rFonts w:ascii="Times New Roman" w:cs="Times New Roman" w:eastAsia="Times New Roman" w:hAnsi="Times New Roman"/>
          <w:sz w:val="13"/>
          <w:szCs w:val="13"/>
          <w:color w:val="auto"/>
        </w:rPr>
        <w:t>A copy of the Company’s 2025 Annual Report on Form 10-K for the fiscal year ended December 31, 2025, may be obtained, free of charge, by any shareholder by writing to Vistance Networks, Inc. 2601 Telecom Parkway, Richardson, TX 75082, Attention: Investor Relations.</w:t>
      </w:r>
    </w:p>
    <w:p>
      <w:pPr>
        <w:spacing w:after="0" w:line="1" w:lineRule="exact"/>
        <w:rPr>
          <w:sz w:val="20"/>
          <w:szCs w:val="20"/>
          <w:color w:val="auto"/>
        </w:rPr>
      </w:pPr>
    </w:p>
    <w:p>
      <w:pPr>
        <w:spacing w:after="0" w:line="385" w:lineRule="auto"/>
        <w:rPr>
          <w:sz w:val="20"/>
          <w:szCs w:val="20"/>
          <w:color w:val="auto"/>
        </w:rPr>
      </w:pPr>
      <w:r>
        <w:rPr>
          <w:rFonts w:ascii="Times New Roman" w:cs="Times New Roman" w:eastAsia="Times New Roman" w:hAnsi="Times New Roman"/>
          <w:sz w:val="13"/>
          <w:szCs w:val="13"/>
          <w:color w:val="auto"/>
        </w:rPr>
        <w:t>Our Annual Report on Form 10-K is also available and may be accessed free of charge through</w:t>
      </w:r>
    </w:p>
    <w:p>
      <w:pPr>
        <w:ind w:right="220"/>
        <w:spacing w:after="0" w:line="398" w:lineRule="auto"/>
        <w:rPr>
          <w:sz w:val="20"/>
          <w:szCs w:val="20"/>
          <w:color w:val="auto"/>
        </w:rPr>
      </w:pPr>
      <w:r>
        <w:rPr>
          <w:rFonts w:ascii="Times New Roman" w:cs="Times New Roman" w:eastAsia="Times New Roman" w:hAnsi="Times New Roman"/>
          <w:sz w:val="14"/>
          <w:szCs w:val="14"/>
          <w:color w:val="auto"/>
        </w:rPr>
        <w:t>the Investor Relations section of our website at ir.vistancenetworks.com.</w:t>
      </w:r>
    </w:p>
    <w:p>
      <w:pPr>
        <w:sectPr>
          <w:pgSz w:w="11880" w:h="15480" w:orient="portrait"/>
          <w:cols w:equalWidth="0" w:num="3">
            <w:col w:w="2900" w:space="310"/>
            <w:col w:w="2570" w:space="640"/>
            <w:col w:w="2820"/>
          </w:cols>
          <w:pgMar w:left="1440" w:top="731" w:right="120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5791200</wp:posOffset>
            </wp:positionH>
            <wp:positionV relativeFrom="page">
              <wp:posOffset>457200</wp:posOffset>
            </wp:positionV>
            <wp:extent cx="1295400" cy="5918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95400" cy="591820"/>
                    </a:xfrm>
                    <a:prstGeom prst="rect">
                      <a:avLst/>
                    </a:prstGeom>
                    <a:noFill/>
                  </pic:spPr>
                </pic:pic>
              </a:graphicData>
            </a:graphic>
          </wp:anchor>
        </w:drawing>
        <w:drawing>
          <wp:anchor simplePos="0" relativeHeight="251657728" behindDoc="1" locked="0" layoutInCell="0" allowOverlap="1">
            <wp:simplePos x="0" y="0"/>
            <wp:positionH relativeFrom="page">
              <wp:posOffset>675005</wp:posOffset>
            </wp:positionH>
            <wp:positionV relativeFrom="page">
              <wp:posOffset>6771005</wp:posOffset>
            </wp:positionV>
            <wp:extent cx="869315" cy="635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2">
                      <a:extLst>
                        <a:ext uri="{28A0092B-C50C-407E-A947-70E740481C1C}"/>
                      </a:extLst>
                    </a:blip>
                    <a:srcRect/>
                    <a:stretch>
                      <a:fillRect/>
                    </a:stretch>
                  </pic:blipFill>
                  <pic:spPr bwMode="auto">
                    <a:xfrm>
                      <a:off x="0" y="0"/>
                      <a:ext cx="869315" cy="63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2601 Telecom Parkway,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Richardson, TX 75082</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+1-972-952-9700</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www.vistancenetworks.com</w:t>
      </w:r>
    </w:p>
    <w:p>
      <w:pPr>
        <w:sectPr>
          <w:pgSz w:w="11880" w:h="15480" w:orient="portrait"/>
          <w:cols w:equalWidth="0" w:num="1">
            <w:col w:w="9360"/>
          </w:cols>
          <w:pgMar w:left="1080" w:top="1440" w:right="1440" w:bottom="4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 2026 Vistance Networks, Inc. All Rights Reserved.</w:t>
      </w:r>
    </w:p>
    <w:sectPr>
      <w:pgSz w:w="11880" w:h="15480" w:orient="portrait"/>
      <w:cols w:equalWidth="0" w:num="1">
        <w:col w:w="9360"/>
      </w:cols>
      <w:pgMar w:left="1080" w:top="1440" w:right="1440" w:bottom="4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1"/>
    </w:lvl>
  </w:abstractNum>
  <w:abstractNum w:abstractNumId="1">
    <w:nsid w:val="2CD89A32"/>
    <w:multiLevelType w:val="hybridMultilevel"/>
    <w:lvl w:ilvl="0">
      <w:lvlJc w:val="left"/>
      <w:lvlText w:val="(%1)"/>
      <w:numFmt w:val="decimal"/>
      <w:start w:val="3"/>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1)"/>
      <w:numFmt w:val="decimal"/>
      <w:start w:val="1"/>
    </w:lvl>
  </w:abstractNum>
  <w:abstractNum w:abstractNumId="9">
    <w:nsid w:val="32FFF902"/>
    <w:multiLevelType w:val="hybridMultilevel"/>
    <w:lvl w:ilvl="0">
      <w:lvlJc w:val="left"/>
      <w:lvlText w:val="(%1)"/>
      <w:numFmt w:val="decimal"/>
      <w:start w:val="6"/>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1)"/>
      <w:numFmt w:val="decimal"/>
      <w:start w:val="5"/>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amp;"/>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1."/>
      <w:numFmt w:val="decimal"/>
      <w:start w:val="2"/>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4"/>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4"/>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decimal"/>
      <w:start w:val="5"/>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6"/>
    </w:lvl>
  </w:abstractNum>
  <w:abstractNum w:abstractNumId="54">
    <w:nsid w:val="799D0247"/>
    <w:multiLevelType w:val="hybridMultilevel"/>
    <w:lvl w:ilvl="0">
      <w:lvlJc w:val="left"/>
      <w:lvlText w:val="%1."/>
      <w:numFmt w:val="decimal"/>
      <w:start w:val="7"/>
    </w:lvl>
  </w:abstractNum>
  <w:abstractNum w:abstractNumId="55">
    <w:nsid w:val="6B94764"/>
    <w:multiLevelType w:val="hybridMultilevel"/>
    <w:lvl w:ilvl="0">
      <w:lvlJc w:val="left"/>
      <w:lvlText w:val="%1."/>
      <w:numFmt w:val="decimal"/>
      <w:start w:val="8"/>
    </w:lvl>
  </w:abstractNum>
  <w:abstractNum w:abstractNumId="56">
    <w:nsid w:val="42C296BD"/>
    <w:multiLevelType w:val="hybridMultilevel"/>
    <w:lvl w:ilvl="0">
      <w:lvlJc w:val="left"/>
      <w:lvlText w:val="%1."/>
      <w:numFmt w:val="decimal"/>
      <w:start w:val="10"/>
    </w:lvl>
  </w:abstractNum>
  <w:abstractNum w:abstractNumId="57">
    <w:nsid w:val="168E121F"/>
    <w:multiLevelType w:val="hybridMultilevel"/>
    <w:lvl w:ilvl="0">
      <w:lvlJc w:val="left"/>
      <w:lvlText w:val="%1."/>
      <w:numFmt w:val="decimal"/>
      <w:start w:val="1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12"/>
    </w:lvl>
  </w:abstractNum>
  <w:abstractNum w:abstractNumId="60">
    <w:nsid w:val="5DC79EA8"/>
    <w:multiLevelType w:val="hybridMultilevel"/>
    <w:lvl w:ilvl="0">
      <w:lvlJc w:val="left"/>
      <w:lvlText w:val="%1."/>
      <w:numFmt w:val="decimal"/>
      <w:start w:val="13"/>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4"/>
    </w:lvl>
  </w:abstractNum>
  <w:abstractNum w:abstractNumId="64">
    <w:nsid w:val="613EFDC5"/>
    <w:multiLevelType w:val="hybridMultilevel"/>
    <w:lvl w:ilvl="0">
      <w:lvlJc w:val="left"/>
      <w:lvlText w:val="%1."/>
      <w:numFmt w:val="decimal"/>
      <w:start w:val="15"/>
    </w:lvl>
  </w:abstractNum>
  <w:abstractNum w:abstractNumId="65">
    <w:nsid w:val="BF72B14"/>
    <w:multiLevelType w:val="hybridMultilevel"/>
    <w:lvl w:ilvl="0">
      <w:lvlJc w:val="left"/>
      <w:lvlText w:val="%1."/>
      <w:numFmt w:val="decimal"/>
      <w:start w:val="16"/>
    </w:lvl>
  </w:abstractNum>
  <w:abstractNum w:abstractNumId="66">
    <w:nsid w:val="11447B73"/>
    <w:multiLevelType w:val="hybridMultilevel"/>
    <w:lvl w:ilvl="0">
      <w:lvlJc w:val="left"/>
      <w:lvlText w:val="%1."/>
      <w:numFmt w:val="decimal"/>
      <w:start w:val="17"/>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2"/>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18"/>
    </w:lvl>
  </w:abstractNum>
  <w:abstractNum w:abstractNumId="74">
    <w:nsid w:val="60B6DF70"/>
    <w:multiLevelType w:val="hybridMultilevel"/>
    <w:lvl w:ilvl="0">
      <w:lvlJc w:val="left"/>
      <w:lvlText w:val="%1."/>
      <w:numFmt w:val="decimal"/>
      <w:start w:val="19"/>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1)"/>
      <w:numFmt w:val="lowerLetter"/>
      <w:start w:val="1"/>
    </w:lvl>
    <w:lvl w:ilvl="1">
      <w:lvlJc w:val="left"/>
      <w:lvlText w:val="%2."/>
      <w:numFmt w:val="decimal"/>
      <w:start w:val="1"/>
    </w:lvl>
  </w:abstractNum>
  <w:abstractNum w:abstractNumId="77">
    <w:nsid w:val="7FFFCA11"/>
    <w:multiLevelType w:val="hybridMultilevel"/>
    <w:lvl w:ilvl="0">
      <w:lvlJc w:val="left"/>
      <w:lvlText w:val="%1."/>
      <w:numFmt w:val="decimal"/>
      <w:start w:val="2"/>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lvl w:ilvl="1">
      <w:lvlJc w:val="left"/>
      <w:lvlText w:val="%2"/>
      <w:numFmt w:val="decimal"/>
      <w:start w:val="104"/>
    </w:lvl>
  </w:abstractNum>
  <w:abstractNum w:abstractNumId="82">
    <w:nsid w:val="6EB5BD4"/>
    <w:multiLevelType w:val="hybridMultilevel"/>
    <w:lvl w:ilvl="0">
      <w:lvlJc w:val="left"/>
      <w:lvlText w:val="**"/>
      <w:numFmt w:val="bullet"/>
      <w:start w:val="1"/>
    </w:lvl>
    <w:lvl w:ilvl="1">
      <w:lvlJc w:val="left"/>
      <w:lvlText w:val="%2"/>
      <w:numFmt w:val="decimal"/>
      <w:start w:val="1"/>
    </w:lvl>
  </w:abstractNum>
  <w:abstractNum w:abstractNumId="83">
    <w:nsid w:val="6F6DD9AC"/>
    <w:multiLevelType w:val="hybridMultilevel"/>
    <w:lvl w:ilvl="0">
      <w:lvlJc w:val="left"/>
      <w:lvlText w:val="***"/>
      <w:numFmt w:val="bullet"/>
      <w:start w:val="1"/>
    </w:lvl>
    <w:lvl w:ilvl="1">
      <w:lvlJc w:val="left"/>
      <w:lvlText w:val="%2"/>
      <w:numFmt w:val="decimal"/>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2026-03-23T20:42:26Z</dcterms:created>
  <dcterms:modified xsi:type="dcterms:W3CDTF">2026-03-23T20:42:26Z</dcterms:modified>
</cp:coreProperties>
</file>