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Treadway Charles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VISTANCE NETWORKS,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2601 TELECOM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RICHARDSON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Vistance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VISN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1047"/>
        <w:gridCol w:w="435"/>
        <w:gridCol w:w="744"/>
        <w:gridCol w:w="1299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407,500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6,553,580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647,157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12.27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5,906,423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restricted stock units that will vest ratably on 06/01/2027, 06/01/2028 and 06/01/2029,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previously reported, includes (a) 220,000 restricted stock units that were granted on 03/01/2024 and will vest on 06/01/2027; (b) 446,667 restricted stock units that were granted on 06/01/2024 and will vest on 06/01/2027; and (c) 525,000 restricted stock units that were granted on 03/01/2025 and will vest ratably on 06/01/2027 and 06/01/2028; each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withheld to cover taxes incurred upon the vesting of restricted stock units and performance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Coppin, Under 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8881" TargetMode="External"/><Relationship Id="rId5" Type="http://schemas.openxmlformats.org/officeDocument/2006/relationships/hyperlink" Target="http://www.sec.gov/cgi-bin/browse-edgar?action=getcompany&amp;CIK=0001517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685</Words>
  <Characters>3759</Characters>
  <CharactersWithSpaces>4378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