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156210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173990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Vistance Networks, Inc.</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159385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43" w:lineRule="exact"/>
        <w:rPr>
          <w:sz w:val="24"/>
          <w:szCs w:val="24"/>
          <w:color w:val="auto"/>
        </w:rPr>
      </w:pPr>
    </w:p>
    <w:tbl>
      <w:tblPr>
        <w:tblLayout w:type="fixed"/>
        <w:tblInd w:w="640" w:type="dxa"/>
        <w:tblCellMar>
          <w:top w:w="0" w:type="dxa"/>
          <w:left w:w="0" w:type="dxa"/>
          <w:bottom w:w="0" w:type="dxa"/>
          <w:right w:w="0" w:type="dxa"/>
        </w:tblCellMar>
      </w:tblPr>
      <w:tr>
        <w:trPr>
          <w:trHeight w:val="214"/>
        </w:trPr>
        <w:tc>
          <w:tcPr>
            <w:tcW w:w="3300" w:type="dxa"/>
            <w:vAlign w:val="bottom"/>
          </w:tcPr>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80" w:type="dxa"/>
            <w:vAlign w:val="bottom"/>
          </w:tcPr>
          <w:p>
            <w:pPr>
              <w:jc w:val="right"/>
              <w:ind w:right="1539"/>
              <w:spacing w:after="0"/>
              <w:rPr>
                <w:sz w:val="20"/>
                <w:szCs w:val="20"/>
                <w:color w:val="auto"/>
              </w:rPr>
            </w:pPr>
            <w:r>
              <w:rPr>
                <w:rFonts w:ascii="Times New Roman" w:cs="Times New Roman" w:eastAsia="Times New Roman" w:hAnsi="Times New Roman"/>
                <w:sz w:val="18"/>
                <w:szCs w:val="18"/>
                <w:b w:val="1"/>
                <w:bCs w:val="1"/>
                <w:color w:val="auto"/>
              </w:rPr>
              <w:t>001-36146</w:t>
            </w:r>
          </w:p>
        </w:tc>
        <w:tc>
          <w:tcPr>
            <w:tcW w:w="230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27-4332098</w:t>
            </w:r>
          </w:p>
        </w:tc>
      </w:tr>
      <w:tr>
        <w:trPr>
          <w:trHeight w:val="148"/>
        </w:trPr>
        <w:tc>
          <w:tcPr>
            <w:tcW w:w="3300" w:type="dxa"/>
            <w:vAlign w:val="bottom"/>
          </w:tcPr>
          <w:p>
            <w:pPr>
              <w:jc w:val="center"/>
              <w:ind w:right="7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680" w:type="dxa"/>
            <w:vAlign w:val="bottom"/>
          </w:tcPr>
          <w:p>
            <w:pPr>
              <w:spacing w:after="0"/>
              <w:rPr>
                <w:sz w:val="12"/>
                <w:szCs w:val="12"/>
                <w:color w:val="auto"/>
              </w:rPr>
            </w:pPr>
          </w:p>
        </w:tc>
        <w:tc>
          <w:tcPr>
            <w:tcW w:w="2300" w:type="dxa"/>
            <w:vAlign w:val="bottom"/>
          </w:tcPr>
          <w:p>
            <w:pPr>
              <w:jc w:val="center"/>
              <w:ind w:left="11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04"/>
        </w:trPr>
        <w:tc>
          <w:tcPr>
            <w:tcW w:w="3300" w:type="dxa"/>
            <w:vAlign w:val="bottom"/>
          </w:tcPr>
          <w:p>
            <w:pPr>
              <w:jc w:val="center"/>
              <w:ind w:right="7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680" w:type="dxa"/>
            <w:vAlign w:val="bottom"/>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300" w:type="dxa"/>
            <w:vAlign w:val="bottom"/>
          </w:tcPr>
          <w:p>
            <w:pPr>
              <w:jc w:val="center"/>
              <w:ind w:left="11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3300" w:type="dxa"/>
            <w:vAlign w:val="bottom"/>
          </w:tcPr>
          <w:p>
            <w:pPr>
              <w:jc w:val="center"/>
              <w:ind w:right="759"/>
              <w:spacing w:after="0"/>
              <w:rPr>
                <w:sz w:val="20"/>
                <w:szCs w:val="20"/>
                <w:color w:val="auto"/>
              </w:rPr>
            </w:pPr>
            <w:r>
              <w:rPr>
                <w:rFonts w:ascii="Times New Roman" w:cs="Times New Roman" w:eastAsia="Times New Roman" w:hAnsi="Times New Roman"/>
                <w:sz w:val="18"/>
                <w:szCs w:val="18"/>
                <w:b w:val="1"/>
                <w:bCs w:val="1"/>
                <w:color w:val="auto"/>
                <w:w w:val="99"/>
              </w:rPr>
              <w:t>2601 Telecom Parkway</w:t>
            </w:r>
          </w:p>
        </w:tc>
        <w:tc>
          <w:tcPr>
            <w:tcW w:w="36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14"/>
        </w:trPr>
        <w:tc>
          <w:tcPr>
            <w:tcW w:w="3300" w:type="dxa"/>
            <w:vAlign w:val="bottom"/>
          </w:tcPr>
          <w:p>
            <w:pPr>
              <w:jc w:val="center"/>
              <w:ind w:right="759"/>
              <w:spacing w:after="0"/>
              <w:rPr>
                <w:sz w:val="20"/>
                <w:szCs w:val="20"/>
                <w:color w:val="auto"/>
              </w:rPr>
            </w:pPr>
            <w:r>
              <w:rPr>
                <w:rFonts w:ascii="Times New Roman" w:cs="Times New Roman" w:eastAsia="Times New Roman" w:hAnsi="Times New Roman"/>
                <w:sz w:val="18"/>
                <w:szCs w:val="18"/>
                <w:b w:val="1"/>
                <w:bCs w:val="1"/>
                <w:color w:val="auto"/>
                <w:w w:val="99"/>
              </w:rPr>
              <w:t>Richardson, Texas</w:t>
            </w:r>
          </w:p>
        </w:tc>
        <w:tc>
          <w:tcPr>
            <w:tcW w:w="3680" w:type="dxa"/>
            <w:vAlign w:val="bottom"/>
          </w:tcPr>
          <w:p>
            <w:pPr>
              <w:spacing w:after="0"/>
              <w:rPr>
                <w:sz w:val="18"/>
                <w:szCs w:val="18"/>
                <w:color w:val="auto"/>
              </w:rPr>
            </w:pPr>
          </w:p>
        </w:tc>
        <w:tc>
          <w:tcPr>
            <w:tcW w:w="23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75082</w:t>
            </w:r>
          </w:p>
        </w:tc>
      </w:tr>
      <w:tr>
        <w:trPr>
          <w:trHeight w:val="190"/>
        </w:trPr>
        <w:tc>
          <w:tcPr>
            <w:tcW w:w="3300" w:type="dxa"/>
            <w:vAlign w:val="bottom"/>
          </w:tcPr>
          <w:p>
            <w:pPr>
              <w:jc w:val="center"/>
              <w:ind w:right="7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680" w:type="dxa"/>
            <w:vAlign w:val="bottom"/>
          </w:tcPr>
          <w:p>
            <w:pPr>
              <w:spacing w:after="0"/>
              <w:rPr>
                <w:sz w:val="16"/>
                <w:szCs w:val="16"/>
                <w:color w:val="auto"/>
              </w:rPr>
            </w:pPr>
          </w:p>
        </w:tc>
        <w:tc>
          <w:tcPr>
            <w:tcW w:w="2300" w:type="dxa"/>
            <w:vAlign w:val="bottom"/>
          </w:tcPr>
          <w:p>
            <w:pPr>
              <w:jc w:val="center"/>
              <w:ind w:left="11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(972) 952-9700</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 Applicable</w:t>
      </w:r>
    </w:p>
    <w:p>
      <w:pPr>
        <w:spacing w:after="0" w:line="26"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240665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7"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20" w:firstLine="21"/>
        <w:spacing w:after="0" w:line="379" w:lineRule="auto"/>
        <w:tabs>
          <w:tab w:leader="none" w:pos="4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VISN</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w:t>
            </w:r>
          </w:p>
        </w:tc>
        <w:tc>
          <w:tcPr>
            <w:tcW w:w="0" w:type="dxa"/>
            <w:vAlign w:val="bottom"/>
          </w:tcPr>
          <w:p>
            <w:pPr>
              <w:spacing w:after="0"/>
              <w:rPr>
                <w:sz w:val="1"/>
                <w:szCs w:val="1"/>
                <w:color w:val="auto"/>
              </w:rPr>
            </w:pPr>
          </w:p>
        </w:tc>
      </w:tr>
    </w:tbl>
    <w:p>
      <w:pPr>
        <w:spacing w:after="0" w:line="95"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On November 5, 2026, Vistance Networks, Inc. (the “Company” or “Vistance Networks”) issued a press release relating to its financial results for the third quarter of 2026. A copy of the press release, which is incorporated by reference herein, is attached hereto as Exhibit 99.1. Following the publication of the press release, the Company will host an earnings call during which its financial results for the third quarter of 2026 will be discussed.</w:t>
      </w:r>
    </w:p>
    <w:p>
      <w:pPr>
        <w:spacing w:after="0" w:line="176"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 foregoing information (including the exhibit hereto) is being furnished and shall not be deemed “filed” 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filing.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November 5, 2026, the Company announced that the Board has authorized an additional repurchase of up to an aggregate of $100 million of the Company’s outstanding common stock (the “Repurchase Program”). This Repurchase Program is in addition to the $100 million repurchase program that was announced on April 30, 2026, and the $150 million repurchase program that was announced on August 26, 2026.</w:t>
      </w:r>
    </w:p>
    <w:p>
      <w:pPr>
        <w:spacing w:after="0" w:line="9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Any share repurchases under the Repurchase Program will be made in accordance with applicable securities laws in either open market or privately negotiated transactions. The Company may also, from time to time, enter into Rule 10b-18 and/or Rule 10b5-1 plans to facilitate repurchases of its shares under the Repurchase Program. The method, timing and amount of shares repurchased under the Repurchase Program will depend on several factors, including capital and liquidity requirements, market conditions and alternative uses for cash. The Repurchase Program does not obligate the Company to acquire any particular amount of its common stock, and the Repurchase Program may be modified, suspended or discontinued at any time.</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94"/>
        </w:trPr>
        <w:tc>
          <w:tcPr>
            <w:tcW w:w="146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97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rPr>
              <w:t>Vistance Networks, Inc. press release, dated November 5, 2026</w:t>
            </w:r>
          </w:p>
        </w:tc>
      </w:tr>
      <w:tr>
        <w:trPr>
          <w:trHeight w:val="20"/>
        </w:trPr>
        <w:tc>
          <w:tcPr>
            <w:tcW w:w="1460" w:type="dxa"/>
            <w:vAlign w:val="bottom"/>
            <w:tcBorders>
              <w:right w:val="single" w:sz="8" w:color="0000EE"/>
            </w:tcBorders>
          </w:tcPr>
          <w:p>
            <w:pPr>
              <w:spacing w:after="0" w:line="20" w:lineRule="exact"/>
              <w:rPr>
                <w:sz w:val="1"/>
                <w:szCs w:val="1"/>
                <w:color w:val="auto"/>
              </w:rPr>
            </w:pPr>
          </w:p>
        </w:tc>
        <w:tc>
          <w:tcPr>
            <w:tcW w:w="4580" w:type="dxa"/>
            <w:vAlign w:val="bottom"/>
            <w:tcBorders>
              <w:right w:val="single" w:sz="8" w:color="0000EE"/>
            </w:tcBorders>
            <w:shd w:val="clear" w:color="auto" w:fill="0000FF"/>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r>
      <w:tr>
        <w:trPr>
          <w:trHeight w:val="277"/>
        </w:trPr>
        <w:tc>
          <w:tcPr>
            <w:tcW w:w="1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22"/>
        </w:trPr>
        <w:tc>
          <w:tcPr>
            <w:tcW w:w="146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117"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5, 2026</w:t>
            </w: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Vistance Networks, Inc.</w:t>
            </w:r>
          </w:p>
        </w:tc>
      </w:tr>
      <w:tr>
        <w:trPr>
          <w:trHeight w:val="432"/>
        </w:trPr>
        <w:tc>
          <w:tcPr>
            <w:tcW w:w="6280" w:type="dxa"/>
            <w:vAlign w:val="bottom"/>
          </w:tcPr>
          <w:p>
            <w:pPr>
              <w:ind w:left="570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Kyle D. Lorentzen</w:t>
            </w:r>
          </w:p>
        </w:tc>
      </w:tr>
      <w:tr>
        <w:trPr>
          <w:trHeight w:val="191"/>
        </w:trPr>
        <w:tc>
          <w:tcPr>
            <w:tcW w:w="6280" w:type="dxa"/>
            <w:vAlign w:val="bottom"/>
          </w:tcPr>
          <w:p>
            <w:pPr>
              <w:spacing w:after="0"/>
              <w:rPr>
                <w:sz w:val="16"/>
                <w:szCs w:val="16"/>
                <w:color w:val="auto"/>
              </w:rPr>
            </w:pPr>
          </w:p>
        </w:tc>
        <w:tc>
          <w:tcPr>
            <w:tcW w:w="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4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Kyle D. Lorentzen</w:t>
            </w:r>
          </w:p>
        </w:tc>
      </w:tr>
      <w:tr>
        <w:trPr>
          <w:trHeight w:val="216"/>
        </w:trPr>
        <w:tc>
          <w:tcPr>
            <w:tcW w:w="628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Executive Vice President and</w:t>
            </w:r>
          </w:p>
        </w:tc>
      </w:tr>
      <w:tr>
        <w:trPr>
          <w:trHeight w:val="234"/>
        </w:trPr>
        <w:tc>
          <w:tcPr>
            <w:tcW w:w="6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573"/>
        </w:trPr>
        <w:tc>
          <w:tcPr>
            <w:tcW w:w="62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88265</wp:posOffset>
            </wp:positionV>
            <wp:extent cx="6583680" cy="13455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83680" cy="134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180"/>
        <w:spacing w:after="0"/>
        <w:rPr>
          <w:sz w:val="20"/>
          <w:szCs w:val="20"/>
          <w:color w:val="auto"/>
        </w:rPr>
      </w:pPr>
      <w:r>
        <w:rPr>
          <w:rFonts w:ascii="Arial" w:cs="Arial" w:eastAsia="Arial" w:hAnsi="Arial"/>
          <w:sz w:val="22"/>
          <w:szCs w:val="22"/>
          <w:b w:val="1"/>
          <w:bCs w:val="1"/>
          <w:color w:val="auto"/>
        </w:rPr>
        <w:t>Vistance Networks Reports Third Quarter 2026 Results</w:t>
      </w: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Highlights</w:t>
      </w:r>
    </w:p>
    <w:p>
      <w:pPr>
        <w:spacing w:after="0" w:line="96" w:lineRule="exact"/>
        <w:rPr>
          <w:sz w:val="20"/>
          <w:szCs w:val="20"/>
          <w:color w:val="auto"/>
        </w:rPr>
      </w:pPr>
    </w:p>
    <w:p>
      <w:pPr>
        <w:ind w:left="760" w:hanging="378"/>
        <w:spacing w:after="0"/>
        <w:tabs>
          <w:tab w:leader="none" w:pos="760" w:val="left"/>
        </w:tabs>
        <w:numPr>
          <w:ilvl w:val="1"/>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Net sales of $319.7 million</w:t>
      </w:r>
    </w:p>
    <w:p>
      <w:pPr>
        <w:spacing w:after="0" w:line="66"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1"/>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GAAP income from continuing operations of $54.7 million</w:t>
      </w:r>
    </w:p>
    <w:p>
      <w:pPr>
        <w:spacing w:after="0" w:line="93"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1"/>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 xml:space="preserve">Non-GAAP adjusted EBITDA of $56.6 million </w:t>
      </w:r>
      <w:r>
        <w:rPr>
          <w:rFonts w:ascii="Arial" w:cs="Arial" w:eastAsia="Arial" w:hAnsi="Arial"/>
          <w:sz w:val="26"/>
          <w:szCs w:val="26"/>
          <w:color w:val="auto"/>
          <w:vertAlign w:val="superscript"/>
        </w:rPr>
        <w:t>(1)</w:t>
      </w:r>
    </w:p>
    <w:p>
      <w:pPr>
        <w:spacing w:after="0" w:line="16"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1"/>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Aurora Networks "Aurora" operating income of $23.0 million</w:t>
      </w:r>
    </w:p>
    <w:p>
      <w:pPr>
        <w:spacing w:after="0" w:line="61"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1"/>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 xml:space="preserve">Aurora non-GAAP adjusted EBITDA of $56.8 million* </w:t>
      </w:r>
      <w:r>
        <w:rPr>
          <w:rFonts w:ascii="Arial" w:cs="Arial" w:eastAsia="Arial" w:hAnsi="Arial"/>
          <w:sz w:val="26"/>
          <w:szCs w:val="26"/>
          <w:color w:val="auto"/>
          <w:vertAlign w:val="superscript"/>
        </w:rPr>
        <w:t>(1)</w:t>
      </w:r>
    </w:p>
    <w:p>
      <w:pPr>
        <w:spacing w:after="0" w:line="43"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1"/>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 xml:space="preserve">Cash flow used in operations of $(57.5) million and free cash flow of $(57.7) million </w:t>
      </w:r>
      <w:r>
        <w:rPr>
          <w:rFonts w:ascii="Arial" w:cs="Arial" w:eastAsia="Arial" w:hAnsi="Arial"/>
          <w:sz w:val="26"/>
          <w:szCs w:val="26"/>
          <w:color w:val="auto"/>
          <w:vertAlign w:val="superscript"/>
        </w:rPr>
        <w:t>(2)</w:t>
      </w:r>
    </w:p>
    <w:p>
      <w:pPr>
        <w:spacing w:after="0" w:line="44" w:lineRule="exact"/>
        <w:rPr>
          <w:rFonts w:ascii="Times New Roman" w:cs="Times New Roman" w:eastAsia="Times New Roman" w:hAnsi="Times New Roman"/>
          <w:sz w:val="20"/>
          <w:szCs w:val="20"/>
          <w:color w:val="auto"/>
        </w:rPr>
      </w:pPr>
    </w:p>
    <w:p>
      <w:pPr>
        <w:ind w:right="280"/>
        <w:spacing w:after="0" w:line="252" w:lineRule="auto"/>
        <w:rPr>
          <w:rFonts w:ascii="Times New Roman" w:cs="Times New Roman" w:eastAsia="Times New Roman" w:hAnsi="Times New Roman"/>
          <w:sz w:val="20"/>
          <w:szCs w:val="20"/>
          <w:color w:val="auto"/>
        </w:rPr>
      </w:pPr>
      <w:r>
        <w:rPr>
          <w:rFonts w:ascii="Arial" w:cs="Arial" w:eastAsia="Arial" w:hAnsi="Arial"/>
          <w:sz w:val="16"/>
          <w:szCs w:val="16"/>
          <w:color w:val="auto"/>
        </w:rPr>
        <w:t>* Reflects the results of Aurora, our reportable segment, which represent substantially all of our net sales and exclude general corporate costs that were previously allocated to the divested RUCKUS and CCS segments because they were not directly attributable to the divested segments. See the segment comparison tables below showing the breakdown of Aurora’s results and the corporate and other costs previously allocated to the divested RUCKUS and CCS segments.</w:t>
      </w:r>
    </w:p>
    <w:p>
      <w:pPr>
        <w:spacing w:after="0" w:line="21"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See “Non-GAAP Financial Measures” and “Reconciliation of GAAP Measures to Non-GAAP Adjusted Measures” below.</w:t>
      </w:r>
    </w:p>
    <w:p>
      <w:pPr>
        <w:spacing w:after="0" w:line="59" w:lineRule="exact"/>
        <w:rPr>
          <w:rFonts w:ascii="Arial" w:cs="Arial" w:eastAsia="Arial" w:hAnsi="Arial"/>
          <w:sz w:val="16"/>
          <w:szCs w:val="16"/>
          <w:color w:val="auto"/>
        </w:rPr>
      </w:pPr>
    </w:p>
    <w:p>
      <w:pPr>
        <w:ind w:right="280" w:firstLine="8"/>
        <w:spacing w:after="0" w:line="286" w:lineRule="auto"/>
        <w:tabs>
          <w:tab w:leader="none" w:pos="243"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cash flows related to discontinued operations have not been segregated. Accordingly, this cash flow information includes the results of continuing and discontinued operations.</w:t>
      </w:r>
    </w:p>
    <w:p>
      <w:pPr>
        <w:spacing w:after="0" w:line="106" w:lineRule="exact"/>
        <w:rPr>
          <w:sz w:val="20"/>
          <w:szCs w:val="20"/>
          <w:color w:val="auto"/>
        </w:rPr>
      </w:pPr>
    </w:p>
    <w:p>
      <w:pPr>
        <w:ind w:right="640"/>
        <w:spacing w:after="0" w:line="259" w:lineRule="auto"/>
        <w:rPr>
          <w:sz w:val="20"/>
          <w:szCs w:val="20"/>
          <w:color w:val="auto"/>
        </w:rPr>
      </w:pPr>
      <w:r>
        <w:rPr>
          <w:rFonts w:ascii="Arial" w:cs="Arial" w:eastAsia="Arial" w:hAnsi="Arial"/>
          <w:sz w:val="20"/>
          <w:szCs w:val="20"/>
          <w:b w:val="1"/>
          <w:bCs w:val="1"/>
          <w:color w:val="auto"/>
        </w:rPr>
        <w:t xml:space="preserve">Richardson, TX, November 5, 2026 </w:t>
      </w:r>
      <w:r>
        <w:rPr>
          <w:rFonts w:ascii="Arial" w:cs="Arial" w:eastAsia="Arial" w:hAnsi="Arial"/>
          <w:sz w:val="20"/>
          <w:szCs w:val="20"/>
          <w:color w:val="auto"/>
        </w:rPr>
        <w:t>— Vistance Networks, Inc. (NASDAQ: VISN), a global leading provider of intelligent</w:t>
      </w:r>
      <w:r>
        <w:rPr>
          <w:rFonts w:ascii="Arial" w:cs="Arial" w:eastAsia="Arial" w:hAnsi="Arial"/>
          <w:sz w:val="20"/>
          <w:szCs w:val="20"/>
          <w:b w:val="1"/>
          <w:bCs w:val="1"/>
          <w:color w:val="auto"/>
        </w:rPr>
        <w:t xml:space="preserve"> </w:t>
      </w:r>
      <w:r>
        <w:rPr>
          <w:rFonts w:ascii="Arial" w:cs="Arial" w:eastAsia="Arial" w:hAnsi="Arial"/>
          <w:sz w:val="20"/>
          <w:szCs w:val="20"/>
          <w:color w:val="auto"/>
        </w:rPr>
        <w:t>network solutions, today reported results for the quarter ended September 30, 2026.</w:t>
      </w:r>
    </w:p>
    <w:p>
      <w:pPr>
        <w:spacing w:after="0" w:line="48"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Summary of Consolidated Results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tcPr>
          <w:p>
            <w:pPr>
              <w:jc w:val="center"/>
              <w:ind w:left="379"/>
              <w:spacing w:after="0"/>
              <w:rPr>
                <w:sz w:val="20"/>
                <w:szCs w:val="20"/>
                <w:color w:val="auto"/>
              </w:rPr>
            </w:pPr>
            <w:r>
              <w:rPr>
                <w:rFonts w:ascii="Arial" w:cs="Arial" w:eastAsia="Arial" w:hAnsi="Arial"/>
                <w:sz w:val="16"/>
                <w:szCs w:val="16"/>
                <w:b w:val="1"/>
                <w:bCs w:val="1"/>
                <w:color w:val="auto"/>
              </w:rPr>
              <w:t>Q3</w:t>
            </w: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jc w:val="center"/>
              <w:ind w:right="580"/>
              <w:spacing w:after="0"/>
              <w:rPr>
                <w:sz w:val="20"/>
                <w:szCs w:val="20"/>
                <w:color w:val="auto"/>
              </w:rPr>
            </w:pPr>
            <w:r>
              <w:rPr>
                <w:rFonts w:ascii="Arial" w:cs="Arial" w:eastAsia="Arial" w:hAnsi="Arial"/>
                <w:sz w:val="16"/>
                <w:szCs w:val="16"/>
                <w:b w:val="1"/>
                <w:bCs w:val="1"/>
                <w:color w:val="auto"/>
              </w:rPr>
              <w:t>Q3</w:t>
            </w:r>
          </w:p>
        </w:tc>
        <w:tc>
          <w:tcPr>
            <w:tcW w:w="160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 Change</w:t>
            </w:r>
          </w:p>
        </w:tc>
      </w:tr>
      <w:tr>
        <w:trPr>
          <w:trHeight w:val="203"/>
        </w:trPr>
        <w:tc>
          <w:tcPr>
            <w:tcW w:w="5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4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2025</w:t>
            </w:r>
          </w:p>
        </w:tc>
        <w:tc>
          <w:tcPr>
            <w:tcW w:w="280" w:type="dxa"/>
            <w:vAlign w:val="bottom"/>
          </w:tcPr>
          <w:p>
            <w:pPr>
              <w:spacing w:after="0"/>
              <w:rPr>
                <w:sz w:val="17"/>
                <w:szCs w:val="17"/>
                <w:color w:val="auto"/>
              </w:rPr>
            </w:pPr>
          </w:p>
        </w:tc>
        <w:tc>
          <w:tcPr>
            <w:tcW w:w="13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YOY</w:t>
            </w:r>
          </w:p>
        </w:tc>
        <w:tc>
          <w:tcPr>
            <w:tcW w:w="240" w:type="dxa"/>
            <w:vAlign w:val="bottom"/>
          </w:tcPr>
          <w:p>
            <w:pPr>
              <w:spacing w:after="0"/>
              <w:rPr>
                <w:sz w:val="17"/>
                <w:szCs w:val="17"/>
                <w:color w:val="auto"/>
              </w:rPr>
            </w:pPr>
          </w:p>
        </w:tc>
      </w:tr>
      <w:tr>
        <w:trPr>
          <w:trHeight w:val="155"/>
        </w:trPr>
        <w:tc>
          <w:tcPr>
            <w:tcW w:w="5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960" w:type="dxa"/>
            <w:vAlign w:val="bottom"/>
            <w:gridSpan w:val="7"/>
          </w:tcPr>
          <w:p>
            <w:pPr>
              <w:jc w:val="right"/>
              <w:ind w:right="1180"/>
              <w:spacing w:after="0" w:line="155" w:lineRule="exact"/>
              <w:rPr>
                <w:sz w:val="20"/>
                <w:szCs w:val="20"/>
                <w:color w:val="auto"/>
              </w:rPr>
            </w:pPr>
            <w:r>
              <w:rPr>
                <w:rFonts w:ascii="Arial" w:cs="Arial" w:eastAsia="Arial" w:hAnsi="Arial"/>
                <w:sz w:val="14"/>
                <w:szCs w:val="14"/>
                <w:b w:val="1"/>
                <w:bCs w:val="1"/>
                <w:color w:val="auto"/>
              </w:rPr>
              <w:t>(in millions, except per share amounts)</w:t>
            </w:r>
          </w:p>
        </w:tc>
      </w:tr>
      <w:tr>
        <w:trPr>
          <w:trHeight w:val="203"/>
        </w:trPr>
        <w:tc>
          <w:tcPr>
            <w:tcW w:w="5820" w:type="dxa"/>
            <w:vAlign w:val="bottom"/>
            <w:shd w:val="clear" w:color="auto" w:fill="CCECFF"/>
          </w:tcPr>
          <w:p>
            <w:pPr>
              <w:spacing w:after="0" w:line="202" w:lineRule="exact"/>
              <w:rPr>
                <w:sz w:val="20"/>
                <w:szCs w:val="20"/>
                <w:color w:val="auto"/>
              </w:rPr>
            </w:pPr>
            <w:r>
              <w:rPr>
                <w:rFonts w:ascii="Arial" w:cs="Arial" w:eastAsia="Arial" w:hAnsi="Arial"/>
                <w:sz w:val="18"/>
                <w:szCs w:val="18"/>
                <w:color w:val="auto"/>
              </w:rPr>
              <w:t>Net sales</w:t>
            </w:r>
          </w:p>
        </w:tc>
        <w:tc>
          <w:tcPr>
            <w:tcW w:w="1460" w:type="dxa"/>
            <w:vAlign w:val="bottom"/>
            <w:gridSpan w:val="2"/>
            <w:shd w:val="clear" w:color="auto" w:fill="CCECFF"/>
          </w:tcPr>
          <w:p>
            <w:pPr>
              <w:jc w:val="right"/>
              <w:ind w:right="659"/>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w w:val="97"/>
              </w:rPr>
              <w:t>319.7</w:t>
            </w:r>
          </w:p>
        </w:tc>
        <w:tc>
          <w:tcPr>
            <w:tcW w:w="560" w:type="dxa"/>
            <w:vAlign w:val="bottom"/>
            <w:gridSpan w:val="2"/>
            <w:shd w:val="clear" w:color="auto" w:fill="CCEC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337.8</w:t>
            </w:r>
          </w:p>
        </w:tc>
        <w:tc>
          <w:tcPr>
            <w:tcW w:w="280" w:type="dxa"/>
            <w:vAlign w:val="bottom"/>
            <w:shd w:val="clear" w:color="auto" w:fill="CCECFF"/>
          </w:tcPr>
          <w:p>
            <w:pPr>
              <w:spacing w:after="0"/>
              <w:rPr>
                <w:sz w:val="17"/>
                <w:szCs w:val="17"/>
                <w:color w:val="auto"/>
              </w:rPr>
            </w:pPr>
          </w:p>
        </w:tc>
        <w:tc>
          <w:tcPr>
            <w:tcW w:w="1600" w:type="dxa"/>
            <w:vAlign w:val="bottom"/>
            <w:gridSpan w:val="2"/>
            <w:shd w:val="clear" w:color="auto" w:fill="CCECFF"/>
          </w:tcPr>
          <w:p>
            <w:pPr>
              <w:jc w:val="right"/>
              <w:ind w:right="20"/>
              <w:spacing w:after="0" w:line="202" w:lineRule="exact"/>
              <w:rPr>
                <w:sz w:val="20"/>
                <w:szCs w:val="20"/>
                <w:color w:val="auto"/>
              </w:rPr>
            </w:pPr>
            <w:r>
              <w:rPr>
                <w:rFonts w:ascii="Arial" w:cs="Arial" w:eastAsia="Arial" w:hAnsi="Arial"/>
                <w:sz w:val="18"/>
                <w:szCs w:val="18"/>
                <w:color w:val="auto"/>
              </w:rPr>
              <w:t>(5.4)%</w:t>
            </w: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GAAP income (loss) from continuing operations</w:t>
            </w: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54.7</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(18.9)</w:t>
            </w:r>
          </w:p>
        </w:tc>
        <w:tc>
          <w:tcPr>
            <w:tcW w:w="16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NM</w:t>
            </w:r>
          </w:p>
        </w:tc>
      </w:tr>
      <w:tr>
        <w:trPr>
          <w:trHeight w:val="203"/>
        </w:trPr>
        <w:tc>
          <w:tcPr>
            <w:tcW w:w="5820" w:type="dxa"/>
            <w:vAlign w:val="bottom"/>
            <w:shd w:val="clear" w:color="auto" w:fill="CCECFF"/>
          </w:tcPr>
          <w:p>
            <w:pPr>
              <w:spacing w:after="0" w:line="202" w:lineRule="exact"/>
              <w:rPr>
                <w:sz w:val="20"/>
                <w:szCs w:val="20"/>
                <w:color w:val="auto"/>
              </w:rPr>
            </w:pPr>
            <w:r>
              <w:rPr>
                <w:rFonts w:ascii="Arial" w:cs="Arial" w:eastAsia="Arial" w:hAnsi="Arial"/>
                <w:sz w:val="18"/>
                <w:szCs w:val="18"/>
                <w:color w:val="auto"/>
              </w:rPr>
              <w:t>GAAP income (loss) from continuing operations per diluted share</w:t>
            </w:r>
          </w:p>
        </w:tc>
        <w:tc>
          <w:tcPr>
            <w:tcW w:w="620" w:type="dxa"/>
            <w:vAlign w:val="bottom"/>
            <w:shd w:val="clear" w:color="auto" w:fill="CCECFF"/>
          </w:tcPr>
          <w:p>
            <w:pPr>
              <w:spacing w:after="0"/>
              <w:rPr>
                <w:sz w:val="17"/>
                <w:szCs w:val="17"/>
                <w:color w:val="auto"/>
              </w:rPr>
            </w:pPr>
          </w:p>
        </w:tc>
        <w:tc>
          <w:tcPr>
            <w:tcW w:w="840" w:type="dxa"/>
            <w:vAlign w:val="bottom"/>
            <w:shd w:val="clear" w:color="auto" w:fill="CCECFF"/>
          </w:tcPr>
          <w:p>
            <w:pPr>
              <w:spacing w:after="0"/>
              <w:rPr>
                <w:sz w:val="17"/>
                <w:szCs w:val="17"/>
                <w:color w:val="auto"/>
              </w:rPr>
            </w:pPr>
          </w:p>
        </w:tc>
        <w:tc>
          <w:tcPr>
            <w:tcW w:w="48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0.24</w:t>
            </w:r>
          </w:p>
        </w:tc>
        <w:tc>
          <w:tcPr>
            <w:tcW w:w="28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1320" w:type="dxa"/>
            <w:vAlign w:val="bottom"/>
            <w:gridSpan w:val="2"/>
            <w:shd w:val="clear" w:color="auto" w:fill="CCECFF"/>
          </w:tcPr>
          <w:p>
            <w:pPr>
              <w:jc w:val="right"/>
              <w:ind w:right="220"/>
              <w:spacing w:after="0" w:line="202" w:lineRule="exact"/>
              <w:rPr>
                <w:sz w:val="20"/>
                <w:szCs w:val="20"/>
                <w:color w:val="auto"/>
              </w:rPr>
            </w:pPr>
            <w:r>
              <w:rPr>
                <w:rFonts w:ascii="Arial" w:cs="Arial" w:eastAsia="Arial" w:hAnsi="Arial"/>
                <w:sz w:val="18"/>
                <w:szCs w:val="18"/>
                <w:color w:val="auto"/>
              </w:rPr>
              <w:t>(0.16)</w:t>
            </w:r>
          </w:p>
        </w:tc>
        <w:tc>
          <w:tcPr>
            <w:tcW w:w="1600" w:type="dxa"/>
            <w:vAlign w:val="bottom"/>
            <w:gridSpan w:val="2"/>
            <w:shd w:val="clear" w:color="auto" w:fill="CCECFF"/>
          </w:tcPr>
          <w:p>
            <w:pPr>
              <w:jc w:val="right"/>
              <w:ind w:right="260"/>
              <w:spacing w:after="0" w:line="202" w:lineRule="exact"/>
              <w:rPr>
                <w:sz w:val="20"/>
                <w:szCs w:val="20"/>
                <w:color w:val="auto"/>
              </w:rPr>
            </w:pPr>
            <w:r>
              <w:rPr>
                <w:rFonts w:ascii="Arial" w:cs="Arial" w:eastAsia="Arial" w:hAnsi="Arial"/>
                <w:sz w:val="18"/>
                <w:szCs w:val="18"/>
                <w:color w:val="auto"/>
              </w:rPr>
              <w:t>NM</w:t>
            </w:r>
          </w:p>
        </w:tc>
      </w:tr>
      <w:tr>
        <w:trPr>
          <w:trHeight w:val="216"/>
        </w:trPr>
        <w:tc>
          <w:tcPr>
            <w:tcW w:w="5820" w:type="dxa"/>
            <w:vAlign w:val="bottom"/>
          </w:tcPr>
          <w:p>
            <w:pPr>
              <w:spacing w:after="0" w:line="216" w:lineRule="exact"/>
              <w:rPr>
                <w:sz w:val="20"/>
                <w:szCs w:val="20"/>
                <w:color w:val="auto"/>
              </w:rPr>
            </w:pPr>
            <w:r>
              <w:rPr>
                <w:rFonts w:ascii="Arial" w:cs="Arial" w:eastAsia="Arial" w:hAnsi="Arial"/>
                <w:sz w:val="18"/>
                <w:szCs w:val="18"/>
                <w:color w:val="auto"/>
              </w:rPr>
              <w:t xml:space="preserve">Non-GAAP adjusted EBITDA </w:t>
            </w:r>
            <w:r>
              <w:rPr>
                <w:rFonts w:ascii="Arial" w:cs="Arial" w:eastAsia="Arial" w:hAnsi="Arial"/>
                <w:sz w:val="24"/>
                <w:szCs w:val="24"/>
                <w:color w:val="auto"/>
                <w:vertAlign w:val="superscript"/>
              </w:rPr>
              <w:t>(1)</w:t>
            </w: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56.6</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24.8</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128.2</w:t>
            </w:r>
          </w:p>
        </w:tc>
        <w:tc>
          <w:tcPr>
            <w:tcW w:w="240" w:type="dxa"/>
            <w:vAlign w:val="bottom"/>
          </w:tcPr>
          <w:p>
            <w:pPr>
              <w:spacing w:after="0"/>
              <w:rPr>
                <w:sz w:val="18"/>
                <w:szCs w:val="18"/>
                <w:color w:val="auto"/>
              </w:rPr>
            </w:pPr>
          </w:p>
        </w:tc>
      </w:tr>
      <w:tr>
        <w:trPr>
          <w:trHeight w:val="203"/>
        </w:trPr>
        <w:tc>
          <w:tcPr>
            <w:tcW w:w="5820" w:type="dxa"/>
            <w:vAlign w:val="bottom"/>
            <w:shd w:val="clear" w:color="auto" w:fill="CCECFF"/>
          </w:tcPr>
          <w:p>
            <w:pPr>
              <w:spacing w:after="0" w:line="202" w:lineRule="exact"/>
              <w:rPr>
                <w:sz w:val="20"/>
                <w:szCs w:val="20"/>
                <w:color w:val="auto"/>
              </w:rPr>
            </w:pPr>
            <w:r>
              <w:rPr>
                <w:rFonts w:ascii="Arial" w:cs="Arial" w:eastAsia="Arial" w:hAnsi="Arial"/>
                <w:sz w:val="18"/>
                <w:szCs w:val="18"/>
                <w:color w:val="auto"/>
              </w:rPr>
              <w:t>Aurora operating income</w:t>
            </w:r>
          </w:p>
        </w:tc>
        <w:tc>
          <w:tcPr>
            <w:tcW w:w="620" w:type="dxa"/>
            <w:vAlign w:val="bottom"/>
            <w:shd w:val="clear" w:color="auto" w:fill="CCECFF"/>
          </w:tcPr>
          <w:p>
            <w:pPr>
              <w:spacing w:after="0"/>
              <w:rPr>
                <w:sz w:val="17"/>
                <w:szCs w:val="17"/>
                <w:color w:val="auto"/>
              </w:rPr>
            </w:pPr>
          </w:p>
        </w:tc>
        <w:tc>
          <w:tcPr>
            <w:tcW w:w="840" w:type="dxa"/>
            <w:vAlign w:val="bottom"/>
            <w:shd w:val="clear" w:color="auto" w:fill="CCECFF"/>
          </w:tcPr>
          <w:p>
            <w:pPr>
              <w:spacing w:after="0"/>
              <w:rPr>
                <w:sz w:val="17"/>
                <w:szCs w:val="17"/>
                <w:color w:val="auto"/>
              </w:rPr>
            </w:pPr>
          </w:p>
        </w:tc>
        <w:tc>
          <w:tcPr>
            <w:tcW w:w="48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23.0</w:t>
            </w:r>
          </w:p>
        </w:tc>
        <w:tc>
          <w:tcPr>
            <w:tcW w:w="28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104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25.5</w:t>
            </w:r>
          </w:p>
        </w:tc>
        <w:tc>
          <w:tcPr>
            <w:tcW w:w="280" w:type="dxa"/>
            <w:vAlign w:val="bottom"/>
            <w:shd w:val="clear" w:color="auto" w:fill="CCECFF"/>
          </w:tcPr>
          <w:p>
            <w:pPr>
              <w:spacing w:after="0"/>
              <w:rPr>
                <w:sz w:val="17"/>
                <w:szCs w:val="17"/>
                <w:color w:val="auto"/>
              </w:rPr>
            </w:pPr>
          </w:p>
        </w:tc>
        <w:tc>
          <w:tcPr>
            <w:tcW w:w="1600" w:type="dxa"/>
            <w:vAlign w:val="bottom"/>
            <w:gridSpan w:val="2"/>
            <w:shd w:val="clear" w:color="auto" w:fill="CCECFF"/>
          </w:tcPr>
          <w:p>
            <w:pPr>
              <w:jc w:val="right"/>
              <w:ind w:right="180"/>
              <w:spacing w:after="0" w:line="202" w:lineRule="exact"/>
              <w:rPr>
                <w:sz w:val="20"/>
                <w:szCs w:val="20"/>
                <w:color w:val="auto"/>
              </w:rPr>
            </w:pPr>
            <w:r>
              <w:rPr>
                <w:rFonts w:ascii="Arial" w:cs="Arial" w:eastAsia="Arial" w:hAnsi="Arial"/>
                <w:sz w:val="18"/>
                <w:szCs w:val="18"/>
                <w:color w:val="auto"/>
              </w:rPr>
              <w:t>(9.8)</w:t>
            </w:r>
          </w:p>
        </w:tc>
      </w:tr>
      <w:tr>
        <w:trPr>
          <w:trHeight w:val="216"/>
        </w:trPr>
        <w:tc>
          <w:tcPr>
            <w:tcW w:w="5820" w:type="dxa"/>
            <w:vAlign w:val="bottom"/>
          </w:tcPr>
          <w:p>
            <w:pPr>
              <w:spacing w:after="0" w:line="216" w:lineRule="exact"/>
              <w:rPr>
                <w:sz w:val="20"/>
                <w:szCs w:val="20"/>
                <w:color w:val="auto"/>
              </w:rPr>
            </w:pPr>
            <w:r>
              <w:rPr>
                <w:rFonts w:ascii="Arial" w:cs="Arial" w:eastAsia="Arial" w:hAnsi="Arial"/>
                <w:sz w:val="18"/>
                <w:szCs w:val="18"/>
                <w:color w:val="auto"/>
              </w:rPr>
              <w:t xml:space="preserve">Aurora non-GAAP adjusted EBITDA </w:t>
            </w:r>
            <w:r>
              <w:rPr>
                <w:rFonts w:ascii="Arial" w:cs="Arial" w:eastAsia="Arial" w:hAnsi="Arial"/>
                <w:sz w:val="24"/>
                <w:szCs w:val="24"/>
                <w:color w:val="auto"/>
                <w:vertAlign w:val="superscript"/>
              </w:rPr>
              <w:t>(1) (2)</w:t>
            </w: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56.8</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54.1</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8"/>
                <w:szCs w:val="18"/>
                <w:color w:val="auto"/>
              </w:rPr>
            </w:pPr>
          </w:p>
        </w:tc>
      </w:tr>
      <w:tr>
        <w:trPr>
          <w:trHeight w:val="216"/>
        </w:trPr>
        <w:tc>
          <w:tcPr>
            <w:tcW w:w="5820" w:type="dxa"/>
            <w:vAlign w:val="bottom"/>
            <w:shd w:val="clear" w:color="auto" w:fill="CCECFF"/>
          </w:tcPr>
          <w:p>
            <w:pPr>
              <w:spacing w:after="0" w:line="216" w:lineRule="exact"/>
              <w:rPr>
                <w:sz w:val="20"/>
                <w:szCs w:val="20"/>
                <w:color w:val="auto"/>
              </w:rPr>
            </w:pPr>
            <w:r>
              <w:rPr>
                <w:rFonts w:ascii="Arial" w:cs="Arial" w:eastAsia="Arial" w:hAnsi="Arial"/>
                <w:sz w:val="18"/>
                <w:szCs w:val="18"/>
                <w:color w:val="auto"/>
              </w:rPr>
              <w:t xml:space="preserve">Non-GAAP adjusted net income per diluted share </w:t>
            </w:r>
            <w:r>
              <w:rPr>
                <w:rFonts w:ascii="Arial" w:cs="Arial" w:eastAsia="Arial" w:hAnsi="Arial"/>
                <w:sz w:val="24"/>
                <w:szCs w:val="24"/>
                <w:color w:val="auto"/>
                <w:vertAlign w:val="superscript"/>
              </w:rPr>
              <w:t>(1)</w:t>
            </w:r>
          </w:p>
        </w:tc>
        <w:tc>
          <w:tcPr>
            <w:tcW w:w="620" w:type="dxa"/>
            <w:vAlign w:val="bottom"/>
            <w:shd w:val="clear" w:color="auto" w:fill="CCECFF"/>
          </w:tcPr>
          <w:p>
            <w:pPr>
              <w:spacing w:after="0"/>
              <w:rPr>
                <w:sz w:val="18"/>
                <w:szCs w:val="18"/>
                <w:color w:val="auto"/>
              </w:rPr>
            </w:pPr>
          </w:p>
        </w:tc>
        <w:tc>
          <w:tcPr>
            <w:tcW w:w="840" w:type="dxa"/>
            <w:vAlign w:val="bottom"/>
            <w:shd w:val="clear" w:color="auto" w:fill="CCECFF"/>
          </w:tcPr>
          <w:p>
            <w:pPr>
              <w:spacing w:after="0"/>
              <w:rPr>
                <w:sz w:val="18"/>
                <w:szCs w:val="18"/>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0.23</w:t>
            </w:r>
          </w:p>
        </w:tc>
        <w:tc>
          <w:tcPr>
            <w:tcW w:w="28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0.06</w:t>
            </w:r>
          </w:p>
        </w:tc>
        <w:tc>
          <w:tcPr>
            <w:tcW w:w="280" w:type="dxa"/>
            <w:vAlign w:val="bottom"/>
            <w:shd w:val="clear" w:color="auto" w:fill="CCECFF"/>
          </w:tcPr>
          <w:p>
            <w:pPr>
              <w:spacing w:after="0"/>
              <w:rPr>
                <w:sz w:val="18"/>
                <w:szCs w:val="18"/>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283.3</w:t>
            </w:r>
          </w:p>
        </w:tc>
        <w:tc>
          <w:tcPr>
            <w:tcW w:w="240" w:type="dxa"/>
            <w:vAlign w:val="bottom"/>
            <w:shd w:val="clear" w:color="auto" w:fill="CCEC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21"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See “Non-GAAP Financial Measures” below.</w:t>
      </w:r>
    </w:p>
    <w:p>
      <w:pPr>
        <w:spacing w:after="0" w:line="5" w:lineRule="exact"/>
        <w:rPr>
          <w:rFonts w:ascii="Arial" w:cs="Arial" w:eastAsia="Arial" w:hAnsi="Arial"/>
          <w:sz w:val="16"/>
          <w:szCs w:val="16"/>
          <w:color w:val="auto"/>
        </w:rPr>
      </w:pPr>
    </w:p>
    <w:p>
      <w:pPr>
        <w:ind w:right="640" w:firstLine="8"/>
        <w:spacing w:after="0" w:line="265" w:lineRule="auto"/>
        <w:tabs>
          <w:tab w:leader="none" w:pos="243" w:val="left"/>
        </w:tabs>
        <w:numPr>
          <w:ilvl w:val="0"/>
          <w:numId w:val="4"/>
        </w:numPr>
        <w:rPr>
          <w:rFonts w:ascii="Arial" w:cs="Arial" w:eastAsia="Arial" w:hAnsi="Arial"/>
          <w:sz w:val="16"/>
          <w:szCs w:val="16"/>
          <w:color w:val="auto"/>
        </w:rPr>
      </w:pPr>
      <w:r>
        <w:rPr>
          <w:rFonts w:ascii="Arial" w:cs="Arial" w:eastAsia="Arial" w:hAnsi="Arial"/>
          <w:sz w:val="16"/>
          <w:szCs w:val="16"/>
          <w:color w:val="auto"/>
        </w:rPr>
        <w:t>Reflects the results of Aurora, our reportable segment, which represent substantially all of our net sales and exclude general corporate costs that were previously allocated to the divested RUCKUS and CCS segments because they were not directly attributable to the divested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722630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ind w:right="20"/>
        <w:spacing w:after="0" w:line="243" w:lineRule="auto"/>
        <w:rPr>
          <w:sz w:val="20"/>
          <w:szCs w:val="20"/>
          <w:color w:val="auto"/>
        </w:rPr>
      </w:pPr>
      <w:r>
        <w:rPr>
          <w:rFonts w:ascii="Arial" w:cs="Arial" w:eastAsia="Arial" w:hAnsi="Arial"/>
          <w:sz w:val="19"/>
          <w:szCs w:val="19"/>
          <w:color w:val="auto"/>
        </w:rPr>
        <w:t>“During the third quarter, we continued to make progress across our Vistance Networks business, supported by ongoing DOCSIS 4.0 deployments and adoption of our next-generation intelligent amplifiers. While memory chip pressures and customer deployment timing continue to impact near-term performance, we remain confident in the long-term demand for our products and opportunities to expand our portfolio. We are also pleased with the significant value we have returned to shareholders following the divestitures of our CCS and RUCKUS businesses. Including our recently announced $1.50 per share special distribution, we will have distributed $16.50 per share in 2026. As of October 30, 2026, we repurchased $225 million of stock under our existing stock repurchase programs. With a strong, debt-free balance sheet, we are well positioned to continue investing in our business and creating additional value,” said Chuck Treadway, President and Chief Executive Officer.</w:t>
      </w:r>
    </w:p>
    <w:p>
      <w:pPr>
        <w:spacing w:after="0" w:line="107" w:lineRule="exact"/>
        <w:rPr>
          <w:sz w:val="20"/>
          <w:szCs w:val="20"/>
          <w:color w:val="auto"/>
        </w:rPr>
      </w:pPr>
    </w:p>
    <w:p>
      <w:pPr>
        <w:ind w:right="100"/>
        <w:spacing w:after="0" w:line="233" w:lineRule="auto"/>
        <w:rPr>
          <w:sz w:val="20"/>
          <w:szCs w:val="20"/>
          <w:color w:val="auto"/>
        </w:rPr>
      </w:pPr>
      <w:r>
        <w:rPr>
          <w:rFonts w:ascii="Arial" w:cs="Arial" w:eastAsia="Arial" w:hAnsi="Arial"/>
          <w:sz w:val="20"/>
          <w:szCs w:val="20"/>
          <w:color w:val="auto"/>
        </w:rPr>
        <w:t>“Aurora Networks delivered $ 320 million of revenue and $ 57 million of Adjusted EBITDA in the third quarter. This was generally aligned with our expectations as memory chip pricing and stranded costs were more than offset by a lower variable compensation. Looking ahead, we are revising our full-year adjusted EBITDA guidance to $180 million to $200 million, primarily resulting from customer demand being pushed out into 2027. We remain confident in the underlying demand for our products and are focused on managing costs, maintaining financial flexibility and positioning the business to capitalize on longer-term network upgrade opportunities," said Kyle Lorentzen, Chief Financial Officer.</w:t>
      </w:r>
    </w:p>
    <w:p>
      <w:pPr>
        <w:spacing w:after="0" w:line="118" w:lineRule="exact"/>
        <w:rPr>
          <w:sz w:val="20"/>
          <w:szCs w:val="20"/>
          <w:color w:val="auto"/>
        </w:rPr>
      </w:pPr>
    </w:p>
    <w:p>
      <w:pPr>
        <w:ind w:right="200"/>
        <w:spacing w:after="0" w:line="219" w:lineRule="auto"/>
        <w:rPr>
          <w:sz w:val="20"/>
          <w:szCs w:val="20"/>
          <w:color w:val="auto"/>
        </w:rPr>
      </w:pPr>
      <w:r>
        <w:rPr>
          <w:rFonts w:ascii="Arial" w:cs="Arial" w:eastAsia="Arial" w:hAnsi="Arial"/>
          <w:sz w:val="20"/>
          <w:szCs w:val="20"/>
          <w:color w:val="auto"/>
        </w:rPr>
        <w:t>Through October 30</w:t>
      </w:r>
      <w:r>
        <w:rPr>
          <w:rFonts w:ascii="Arial" w:cs="Arial" w:eastAsia="Arial" w:hAnsi="Arial"/>
          <w:sz w:val="26"/>
          <w:szCs w:val="26"/>
          <w:color w:val="auto"/>
          <w:vertAlign w:val="superscript"/>
        </w:rPr>
        <w:t>th</w:t>
      </w:r>
      <w:r>
        <w:rPr>
          <w:rFonts w:ascii="Arial" w:cs="Arial" w:eastAsia="Arial" w:hAnsi="Arial"/>
          <w:sz w:val="20"/>
          <w:szCs w:val="20"/>
          <w:color w:val="auto"/>
        </w:rPr>
        <w:t>, the Company has utilized $225 million of the authorization to buy back 28.9 million shares or approximately 13% of the outstanding shares at the end of the second quarter, inclusive of shares that vested with the Ruckus transaction in the third quarter.</w:t>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Results and Comparisons</w:t>
      </w:r>
    </w:p>
    <w:p>
      <w:pPr>
        <w:spacing w:after="0" w:line="96"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color w:val="auto"/>
        </w:rPr>
        <w:t>Net sales in the third quarter of 2026 decreased 5.4% year-over-year to $319.7 million with decreases in the United States (U.S.), the Caribbean and Latin America (CALA) region and Canada, partially offset by increases in the Europe, Middle East and Africa (EMEA) region and the Asia Pacific (APAC) region.</w:t>
      </w:r>
    </w:p>
    <w:p>
      <w:pPr>
        <w:spacing w:after="0" w:line="171" w:lineRule="exact"/>
        <w:rPr>
          <w:sz w:val="20"/>
          <w:szCs w:val="20"/>
          <w:color w:val="auto"/>
        </w:rPr>
      </w:pPr>
    </w:p>
    <w:p>
      <w:pPr>
        <w:ind w:right="120"/>
        <w:spacing w:after="0" w:line="237" w:lineRule="auto"/>
        <w:rPr>
          <w:sz w:val="20"/>
          <w:szCs w:val="20"/>
          <w:color w:val="auto"/>
        </w:rPr>
      </w:pPr>
      <w:r>
        <w:rPr>
          <w:rFonts w:ascii="Arial" w:cs="Arial" w:eastAsia="Arial" w:hAnsi="Arial"/>
          <w:sz w:val="20"/>
          <w:szCs w:val="20"/>
          <w:color w:val="auto"/>
        </w:rPr>
        <w:t>Income from continuing operations of $54.7 million, or $0.24 per diluted share, in the third quarter of 2026, increased compared to loss from continuing operations of $18.9 million, or $(0.16) per diluted share in the same prior year period. Non-GAAP adjusted net income for the third quarter of 2026 was $53.0 million, or $0.23 per diluted share, increased compared to $17.7 million, or $0.06 per diluted share, in the same prior year period.</w:t>
      </w:r>
    </w:p>
    <w:p>
      <w:pPr>
        <w:spacing w:after="0" w:line="172" w:lineRule="exact"/>
        <w:rPr>
          <w:sz w:val="20"/>
          <w:szCs w:val="20"/>
          <w:color w:val="auto"/>
        </w:rPr>
      </w:pPr>
    </w:p>
    <w:p>
      <w:pPr>
        <w:ind w:right="380"/>
        <w:spacing w:after="0" w:line="257" w:lineRule="auto"/>
        <w:rPr>
          <w:sz w:val="20"/>
          <w:szCs w:val="20"/>
          <w:color w:val="auto"/>
        </w:rPr>
      </w:pPr>
      <w:r>
        <w:rPr>
          <w:rFonts w:ascii="Arial" w:cs="Arial" w:eastAsia="Arial" w:hAnsi="Arial"/>
          <w:sz w:val="20"/>
          <w:szCs w:val="20"/>
          <w:color w:val="auto"/>
        </w:rPr>
        <w:t>Aurora operating income decreased $2.5 million or 9.8% to $23.0 million in the third quarter compared to $25.5 million in the same prior year period.</w:t>
      </w:r>
    </w:p>
    <w:p>
      <w:pPr>
        <w:spacing w:after="0" w:line="155"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Aurora non-GAAP adjusted EBITDA increased 5.0% to $56.8 million in the third quarter of 2026 compared to $54.1 million in the same prior year period. Aurora non-GAAP adjusted EBITDA as a percentage of net sales increased to 17.8% in the third quarter of 2026 compared to 16.0% in the same prior year period. Non-GAAP adjusted EBITDA increased 128.2% to $56.6 million in the third quarter of 2026 compared to $ 24.8 million in the same prior year period. Non-GAAP adjusted EBITDA as a percentage of net sales increased to 17.7% in the third quarter of 2026 compared to 7.3% in the same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866140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5" w:name="page6"/>
    <w:bookmarkEnd w:id="5"/>
    <w:p>
      <w:pPr>
        <w:ind w:left="60"/>
        <w:spacing w:after="0"/>
        <w:rPr>
          <w:sz w:val="20"/>
          <w:szCs w:val="20"/>
          <w:color w:val="auto"/>
        </w:rPr>
      </w:pPr>
      <w:r>
        <w:rPr>
          <w:rFonts w:ascii="Arial" w:cs="Arial" w:eastAsia="Arial" w:hAnsi="Arial"/>
          <w:sz w:val="20"/>
          <w:szCs w:val="20"/>
          <w:b w:val="1"/>
          <w:bCs w:val="1"/>
          <w:color w:val="auto"/>
        </w:rPr>
        <w:t>Third Quarter Comparisons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Sales by Region</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gridSpan w:val="2"/>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Q3 2026</w:t>
            </w:r>
          </w:p>
        </w:tc>
        <w:tc>
          <w:tcPr>
            <w:tcW w:w="5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Q3 2025</w:t>
            </w:r>
          </w:p>
        </w:tc>
        <w:tc>
          <w:tcPr>
            <w:tcW w:w="50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Borders>
              <w:bottom w:val="single" w:sz="8" w:color="auto"/>
            </w:tcBorders>
          </w:tcPr>
          <w:p>
            <w:pPr>
              <w:jc w:val="center"/>
              <w:ind w:left="413"/>
              <w:spacing w:after="0"/>
              <w:rPr>
                <w:sz w:val="20"/>
                <w:szCs w:val="20"/>
                <w:color w:val="auto"/>
              </w:rPr>
            </w:pPr>
            <w:r>
              <w:rPr>
                <w:rFonts w:ascii="Arial" w:cs="Arial" w:eastAsia="Arial" w:hAnsi="Arial"/>
                <w:sz w:val="16"/>
                <w:szCs w:val="16"/>
                <w:b w:val="1"/>
                <w:bCs w:val="1"/>
                <w:color w:val="auto"/>
              </w:rPr>
              <w:t>YOY</w:t>
            </w:r>
          </w:p>
        </w:tc>
        <w:tc>
          <w:tcPr>
            <w:tcW w:w="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0" w:type="dxa"/>
            <w:vAlign w:val="bottom"/>
            <w:gridSpan w:val="3"/>
            <w:shd w:val="clear" w:color="auto" w:fill="CCECFF"/>
          </w:tcPr>
          <w:p>
            <w:pPr>
              <w:spacing w:after="0" w:line="196" w:lineRule="exact"/>
              <w:rPr>
                <w:sz w:val="20"/>
                <w:szCs w:val="20"/>
                <w:color w:val="auto"/>
              </w:rPr>
            </w:pPr>
            <w:r>
              <w:rPr>
                <w:rFonts w:ascii="Arial" w:cs="Arial" w:eastAsia="Arial" w:hAnsi="Arial"/>
                <w:sz w:val="18"/>
                <w:szCs w:val="18"/>
                <w:color w:val="auto"/>
              </w:rPr>
              <w:t>United States</w:t>
            </w:r>
          </w:p>
        </w:tc>
        <w:tc>
          <w:tcPr>
            <w:tcW w:w="1220" w:type="dxa"/>
            <w:vAlign w:val="bottom"/>
            <w:shd w:val="clear" w:color="auto" w:fill="CCECFF"/>
          </w:tcPr>
          <w:p>
            <w:pPr>
              <w:jc w:val="right"/>
              <w:ind w:right="1033"/>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CFF"/>
          </w:tcPr>
          <w:p>
            <w:pPr>
              <w:jc w:val="right"/>
              <w:spacing w:after="0" w:line="196" w:lineRule="exact"/>
              <w:rPr>
                <w:sz w:val="20"/>
                <w:szCs w:val="20"/>
                <w:color w:val="auto"/>
              </w:rPr>
            </w:pPr>
            <w:r>
              <w:rPr>
                <w:rFonts w:ascii="Arial" w:cs="Arial" w:eastAsia="Arial" w:hAnsi="Arial"/>
                <w:sz w:val="18"/>
                <w:szCs w:val="18"/>
                <w:color w:val="auto"/>
              </w:rPr>
              <w:t>252.9</w:t>
            </w:r>
          </w:p>
        </w:tc>
        <w:tc>
          <w:tcPr>
            <w:tcW w:w="200" w:type="dxa"/>
            <w:vAlign w:val="bottom"/>
            <w:shd w:val="clear" w:color="auto" w:fill="CCECFF"/>
          </w:tcPr>
          <w:p>
            <w:pPr>
              <w:spacing w:after="0"/>
              <w:rPr>
                <w:sz w:val="17"/>
                <w:szCs w:val="17"/>
                <w:color w:val="auto"/>
              </w:rPr>
            </w:pPr>
          </w:p>
        </w:tc>
        <w:tc>
          <w:tcPr>
            <w:tcW w:w="1360" w:type="dxa"/>
            <w:vAlign w:val="bottom"/>
            <w:gridSpan w:val="2"/>
            <w:shd w:val="clear" w:color="auto" w:fill="CCECFF"/>
          </w:tcPr>
          <w:p>
            <w:pPr>
              <w:jc w:val="right"/>
              <w:ind w:right="1015"/>
              <w:spacing w:after="0" w:line="196" w:lineRule="exact"/>
              <w:rPr>
                <w:sz w:val="20"/>
                <w:szCs w:val="20"/>
                <w:color w:val="auto"/>
              </w:rPr>
            </w:pPr>
            <w:r>
              <w:rPr>
                <w:rFonts w:ascii="Arial" w:cs="Arial" w:eastAsia="Arial" w:hAnsi="Arial"/>
                <w:sz w:val="18"/>
                <w:szCs w:val="18"/>
                <w:color w:val="auto"/>
              </w:rPr>
              <w:t>$</w:t>
            </w:r>
          </w:p>
        </w:tc>
        <w:tc>
          <w:tcPr>
            <w:tcW w:w="500" w:type="dxa"/>
            <w:vAlign w:val="bottom"/>
            <w:shd w:val="clear" w:color="auto" w:fill="CCECFF"/>
          </w:tcPr>
          <w:p>
            <w:pPr>
              <w:jc w:val="right"/>
              <w:spacing w:after="0" w:line="196" w:lineRule="exact"/>
              <w:rPr>
                <w:sz w:val="20"/>
                <w:szCs w:val="20"/>
                <w:color w:val="auto"/>
              </w:rPr>
            </w:pPr>
            <w:r>
              <w:rPr>
                <w:rFonts w:ascii="Arial" w:cs="Arial" w:eastAsia="Arial" w:hAnsi="Arial"/>
                <w:sz w:val="18"/>
                <w:szCs w:val="18"/>
                <w:color w:val="auto"/>
              </w:rPr>
              <w:t>274.6</w:t>
            </w:r>
          </w:p>
        </w:tc>
        <w:tc>
          <w:tcPr>
            <w:tcW w:w="320" w:type="dxa"/>
            <w:vAlign w:val="bottom"/>
            <w:shd w:val="clear" w:color="auto" w:fill="CCECFF"/>
          </w:tcPr>
          <w:p>
            <w:pPr>
              <w:spacing w:after="0"/>
              <w:rPr>
                <w:sz w:val="17"/>
                <w:szCs w:val="17"/>
                <w:color w:val="auto"/>
              </w:rPr>
            </w:pPr>
          </w:p>
        </w:tc>
        <w:tc>
          <w:tcPr>
            <w:tcW w:w="1200" w:type="dxa"/>
            <w:vAlign w:val="bottom"/>
            <w:shd w:val="clear" w:color="auto" w:fill="CCECFF"/>
          </w:tcPr>
          <w:p>
            <w:pPr>
              <w:jc w:val="right"/>
              <w:spacing w:after="0" w:line="196" w:lineRule="exact"/>
              <w:rPr>
                <w:sz w:val="20"/>
                <w:szCs w:val="20"/>
                <w:color w:val="auto"/>
              </w:rPr>
            </w:pPr>
            <w:r>
              <w:rPr>
                <w:rFonts w:ascii="Arial" w:cs="Arial" w:eastAsia="Arial" w:hAnsi="Arial"/>
                <w:sz w:val="18"/>
                <w:szCs w:val="18"/>
                <w:color w:val="auto"/>
              </w:rPr>
              <w:t>(7.9)</w:t>
            </w:r>
          </w:p>
        </w:tc>
        <w:tc>
          <w:tcPr>
            <w:tcW w:w="520" w:type="dxa"/>
            <w:vAlign w:val="bottom"/>
            <w:shd w:val="clear" w:color="auto" w:fill="CCECFF"/>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400" w:type="dxa"/>
            <w:vAlign w:val="bottom"/>
            <w:gridSpan w:val="3"/>
          </w:tcPr>
          <w:p>
            <w:pPr>
              <w:spacing w:after="0" w:line="202" w:lineRule="exact"/>
              <w:rPr>
                <w:sz w:val="20"/>
                <w:szCs w:val="20"/>
                <w:color w:val="auto"/>
              </w:rPr>
            </w:pPr>
            <w:r>
              <w:rPr>
                <w:rFonts w:ascii="Arial" w:cs="Arial" w:eastAsia="Arial" w:hAnsi="Arial"/>
                <w:sz w:val="18"/>
                <w:szCs w:val="18"/>
                <w:color w:val="auto"/>
              </w:rPr>
              <w:t>Europe, Middle East and Africa</w:t>
            </w:r>
          </w:p>
        </w:tc>
        <w:tc>
          <w:tcPr>
            <w:tcW w:w="12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26.6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15.2</w:t>
            </w:r>
          </w:p>
        </w:tc>
        <w:tc>
          <w:tcPr>
            <w:tcW w:w="320" w:type="dxa"/>
            <w:vAlign w:val="bottom"/>
          </w:tcPr>
          <w:p>
            <w:pPr>
              <w:spacing w:after="0"/>
              <w:rPr>
                <w:sz w:val="17"/>
                <w:szCs w:val="17"/>
                <w:color w:val="auto"/>
              </w:rPr>
            </w:pPr>
          </w:p>
        </w:tc>
        <w:tc>
          <w:tcPr>
            <w:tcW w:w="12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75.0</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gridSpan w:val="3"/>
            <w:shd w:val="clear" w:color="auto" w:fill="CCECFF"/>
          </w:tcPr>
          <w:p>
            <w:pPr>
              <w:spacing w:after="0" w:line="202" w:lineRule="exact"/>
              <w:rPr>
                <w:sz w:val="20"/>
                <w:szCs w:val="20"/>
                <w:color w:val="auto"/>
              </w:rPr>
            </w:pPr>
            <w:r>
              <w:rPr>
                <w:rFonts w:ascii="Arial" w:cs="Arial" w:eastAsia="Arial" w:hAnsi="Arial"/>
                <w:sz w:val="18"/>
                <w:szCs w:val="18"/>
                <w:color w:val="auto"/>
              </w:rPr>
              <w:t>Asia Pacific</w:t>
            </w:r>
          </w:p>
        </w:tc>
        <w:tc>
          <w:tcPr>
            <w:tcW w:w="1220" w:type="dxa"/>
            <w:vAlign w:val="bottom"/>
            <w:shd w:val="clear" w:color="auto" w:fill="CCECFF"/>
          </w:tcPr>
          <w:p>
            <w:pPr>
              <w:spacing w:after="0"/>
              <w:rPr>
                <w:sz w:val="17"/>
                <w:szCs w:val="17"/>
                <w:color w:val="auto"/>
              </w:rPr>
            </w:pPr>
          </w:p>
        </w:tc>
        <w:tc>
          <w:tcPr>
            <w:tcW w:w="52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18.5</w:t>
            </w:r>
          </w:p>
        </w:tc>
        <w:tc>
          <w:tcPr>
            <w:tcW w:w="20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1200" w:type="dxa"/>
            <w:vAlign w:val="bottom"/>
            <w:shd w:val="clear" w:color="auto" w:fill="CCECFF"/>
          </w:tcPr>
          <w:p>
            <w:pPr>
              <w:spacing w:after="0"/>
              <w:rPr>
                <w:sz w:val="17"/>
                <w:szCs w:val="17"/>
                <w:color w:val="auto"/>
              </w:rPr>
            </w:pPr>
          </w:p>
        </w:tc>
        <w:tc>
          <w:tcPr>
            <w:tcW w:w="50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16.6</w:t>
            </w:r>
          </w:p>
        </w:tc>
        <w:tc>
          <w:tcPr>
            <w:tcW w:w="320" w:type="dxa"/>
            <w:vAlign w:val="bottom"/>
            <w:shd w:val="clear" w:color="auto" w:fill="CCECFF"/>
          </w:tcPr>
          <w:p>
            <w:pPr>
              <w:spacing w:after="0"/>
              <w:rPr>
                <w:sz w:val="17"/>
                <w:szCs w:val="17"/>
                <w:color w:val="auto"/>
              </w:rPr>
            </w:pPr>
          </w:p>
        </w:tc>
        <w:tc>
          <w:tcPr>
            <w:tcW w:w="1200" w:type="dxa"/>
            <w:vAlign w:val="bottom"/>
            <w:shd w:val="clear" w:color="auto" w:fill="CCECFF"/>
          </w:tcPr>
          <w:p>
            <w:pPr>
              <w:jc w:val="right"/>
              <w:ind w:right="33"/>
              <w:spacing w:after="0" w:line="202" w:lineRule="exact"/>
              <w:rPr>
                <w:sz w:val="20"/>
                <w:szCs w:val="20"/>
                <w:color w:val="auto"/>
              </w:rPr>
            </w:pPr>
            <w:r>
              <w:rPr>
                <w:rFonts w:ascii="Arial" w:cs="Arial" w:eastAsia="Arial" w:hAnsi="Arial"/>
                <w:sz w:val="18"/>
                <w:szCs w:val="18"/>
                <w:color w:val="auto"/>
              </w:rPr>
              <w:t>11.4</w:t>
            </w:r>
          </w:p>
        </w:tc>
        <w:tc>
          <w:tcPr>
            <w:tcW w:w="52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gridSpan w:val="3"/>
          </w:tcPr>
          <w:p>
            <w:pPr>
              <w:spacing w:after="0" w:line="202" w:lineRule="exact"/>
              <w:rPr>
                <w:sz w:val="20"/>
                <w:szCs w:val="20"/>
                <w:color w:val="auto"/>
              </w:rPr>
            </w:pPr>
            <w:r>
              <w:rPr>
                <w:rFonts w:ascii="Arial" w:cs="Arial" w:eastAsia="Arial" w:hAnsi="Arial"/>
                <w:sz w:val="18"/>
                <w:szCs w:val="18"/>
                <w:color w:val="auto"/>
              </w:rPr>
              <w:t>Caribbean and Latin America</w:t>
            </w:r>
          </w:p>
        </w:tc>
        <w:tc>
          <w:tcPr>
            <w:tcW w:w="12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10.3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16.3</w:t>
            </w:r>
          </w:p>
        </w:tc>
        <w:tc>
          <w:tcPr>
            <w:tcW w:w="3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(36.8)</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tcBorders>
              <w:bottom w:val="single" w:sz="8" w:color="CCECFF"/>
            </w:tcBorders>
            <w:gridSpan w:val="3"/>
            <w:shd w:val="clear" w:color="auto" w:fill="CCECFF"/>
          </w:tcPr>
          <w:p>
            <w:pPr>
              <w:spacing w:after="0" w:line="202" w:lineRule="exact"/>
              <w:rPr>
                <w:sz w:val="20"/>
                <w:szCs w:val="20"/>
                <w:color w:val="auto"/>
              </w:rPr>
            </w:pPr>
            <w:r>
              <w:rPr>
                <w:rFonts w:ascii="Arial" w:cs="Arial" w:eastAsia="Arial" w:hAnsi="Arial"/>
                <w:sz w:val="18"/>
                <w:szCs w:val="18"/>
                <w:color w:val="auto"/>
              </w:rPr>
              <w:t>Canada</w:t>
            </w:r>
          </w:p>
        </w:tc>
        <w:tc>
          <w:tcPr>
            <w:tcW w:w="1220" w:type="dxa"/>
            <w:vAlign w:val="bottom"/>
            <w:tcBorders>
              <w:bottom w:val="single" w:sz="8" w:color="auto"/>
            </w:tcBorders>
            <w:shd w:val="clear" w:color="auto" w:fill="CCECFF"/>
          </w:tcPr>
          <w:p>
            <w:pPr>
              <w:spacing w:after="0"/>
              <w:rPr>
                <w:sz w:val="17"/>
                <w:szCs w:val="17"/>
                <w:color w:val="auto"/>
              </w:rPr>
            </w:pPr>
          </w:p>
        </w:tc>
        <w:tc>
          <w:tcPr>
            <w:tcW w:w="52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11.4</w:t>
            </w:r>
          </w:p>
        </w:tc>
        <w:tc>
          <w:tcPr>
            <w:tcW w:w="200" w:type="dxa"/>
            <w:vAlign w:val="bottom"/>
            <w:tcBorders>
              <w:bottom w:val="single" w:sz="8" w:color="CCECFF"/>
            </w:tcBorders>
            <w:shd w:val="clear" w:color="auto" w:fill="CCECFF"/>
          </w:tcPr>
          <w:p>
            <w:pPr>
              <w:spacing w:after="0"/>
              <w:rPr>
                <w:sz w:val="17"/>
                <w:szCs w:val="17"/>
                <w:color w:val="auto"/>
              </w:rPr>
            </w:pPr>
          </w:p>
        </w:tc>
        <w:tc>
          <w:tcPr>
            <w:tcW w:w="160" w:type="dxa"/>
            <w:vAlign w:val="bottom"/>
            <w:tcBorders>
              <w:bottom w:val="single" w:sz="8" w:color="CCECFF"/>
            </w:tcBorders>
            <w:shd w:val="clear" w:color="auto" w:fill="CCECFF"/>
          </w:tcPr>
          <w:p>
            <w:pPr>
              <w:spacing w:after="0"/>
              <w:rPr>
                <w:sz w:val="17"/>
                <w:szCs w:val="17"/>
                <w:color w:val="auto"/>
              </w:rPr>
            </w:pPr>
          </w:p>
        </w:tc>
        <w:tc>
          <w:tcPr>
            <w:tcW w:w="1200" w:type="dxa"/>
            <w:vAlign w:val="bottom"/>
            <w:tcBorders>
              <w:bottom w:val="single" w:sz="8" w:color="auto"/>
            </w:tcBorders>
            <w:shd w:val="clear" w:color="auto" w:fill="CCECFF"/>
          </w:tcPr>
          <w:p>
            <w:pPr>
              <w:spacing w:after="0"/>
              <w:rPr>
                <w:sz w:val="17"/>
                <w:szCs w:val="17"/>
                <w:color w:val="auto"/>
              </w:rPr>
            </w:pPr>
          </w:p>
        </w:tc>
        <w:tc>
          <w:tcPr>
            <w:tcW w:w="50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15.1</w:t>
            </w:r>
          </w:p>
        </w:tc>
        <w:tc>
          <w:tcPr>
            <w:tcW w:w="320" w:type="dxa"/>
            <w:vAlign w:val="bottom"/>
            <w:tcBorders>
              <w:bottom w:val="single" w:sz="8" w:color="CCECFF"/>
            </w:tcBorders>
            <w:shd w:val="clear" w:color="auto" w:fill="CCECFF"/>
          </w:tcPr>
          <w:p>
            <w:pPr>
              <w:spacing w:after="0"/>
              <w:rPr>
                <w:sz w:val="17"/>
                <w:szCs w:val="17"/>
                <w:color w:val="auto"/>
              </w:rPr>
            </w:pPr>
          </w:p>
        </w:tc>
        <w:tc>
          <w:tcPr>
            <w:tcW w:w="1200" w:type="dxa"/>
            <w:vAlign w:val="bottom"/>
            <w:tcBorders>
              <w:bottom w:val="single" w:sz="8" w:color="CCECFF"/>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(24.5)</w:t>
            </w:r>
          </w:p>
        </w:tc>
        <w:tc>
          <w:tcPr>
            <w:tcW w:w="52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0" w:type="dxa"/>
            <w:vAlign w:val="bottom"/>
            <w:gridSpan w:val="3"/>
          </w:tcPr>
          <w:p>
            <w:pPr>
              <w:spacing w:after="0" w:line="182" w:lineRule="exact"/>
              <w:rPr>
                <w:sz w:val="20"/>
                <w:szCs w:val="20"/>
                <w:color w:val="auto"/>
              </w:rPr>
            </w:pPr>
            <w:r>
              <w:rPr>
                <w:rFonts w:ascii="Arial" w:cs="Arial" w:eastAsia="Arial" w:hAnsi="Arial"/>
                <w:sz w:val="18"/>
                <w:szCs w:val="18"/>
                <w:b w:val="1"/>
                <w:bCs w:val="1"/>
                <w:color w:val="auto"/>
              </w:rPr>
              <w:t>Total net sales</w:t>
            </w:r>
          </w:p>
        </w:tc>
        <w:tc>
          <w:tcPr>
            <w:tcW w:w="1220" w:type="dxa"/>
            <w:vAlign w:val="bottom"/>
          </w:tcPr>
          <w:p>
            <w:pPr>
              <w:jc w:val="right"/>
              <w:ind w:right="1033"/>
              <w:spacing w:after="0" w:line="182"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182" w:lineRule="exact"/>
              <w:rPr>
                <w:sz w:val="20"/>
                <w:szCs w:val="20"/>
                <w:color w:val="auto"/>
              </w:rPr>
            </w:pPr>
            <w:r>
              <w:rPr>
                <w:rFonts w:ascii="Arial" w:cs="Arial" w:eastAsia="Arial" w:hAnsi="Arial"/>
                <w:sz w:val="18"/>
                <w:szCs w:val="18"/>
                <w:color w:val="auto"/>
              </w:rPr>
              <w:t>319.7</w:t>
            </w:r>
          </w:p>
        </w:tc>
        <w:tc>
          <w:tcPr>
            <w:tcW w:w="200" w:type="dxa"/>
            <w:vAlign w:val="bottom"/>
          </w:tcPr>
          <w:p>
            <w:pPr>
              <w:spacing w:after="0"/>
              <w:rPr>
                <w:sz w:val="17"/>
                <w:szCs w:val="17"/>
                <w:color w:val="auto"/>
              </w:rPr>
            </w:pPr>
          </w:p>
        </w:tc>
        <w:tc>
          <w:tcPr>
            <w:tcW w:w="1360" w:type="dxa"/>
            <w:vAlign w:val="bottom"/>
            <w:gridSpan w:val="2"/>
          </w:tcPr>
          <w:p>
            <w:pPr>
              <w:jc w:val="right"/>
              <w:ind w:right="1015"/>
              <w:spacing w:after="0" w:line="18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337.8</w:t>
            </w:r>
          </w:p>
        </w:tc>
        <w:tc>
          <w:tcPr>
            <w:tcW w:w="320" w:type="dxa"/>
            <w:vAlign w:val="bottom"/>
          </w:tcPr>
          <w:p>
            <w:pPr>
              <w:spacing w:after="0"/>
              <w:rPr>
                <w:sz w:val="17"/>
                <w:szCs w:val="17"/>
                <w:color w:val="auto"/>
              </w:rPr>
            </w:pP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(5.4)</w:t>
            </w:r>
          </w:p>
        </w:tc>
        <w:tc>
          <w:tcPr>
            <w:tcW w:w="52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Segment Net Sales</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line="20" w:lineRule="exact"/>
              <w:rPr>
                <w:sz w:val="1"/>
                <w:szCs w:val="1"/>
                <w:color w:val="auto"/>
              </w:rPr>
            </w:pPr>
          </w:p>
        </w:tc>
      </w:tr>
      <w:tr>
        <w:trPr>
          <w:trHeight w:val="480"/>
        </w:trPr>
        <w:tc>
          <w:tcPr>
            <w:tcW w:w="5400" w:type="dxa"/>
            <w:vAlign w:val="bottom"/>
            <w:gridSpan w:val="3"/>
            <w:vMerge w:val="continue"/>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620" w:type="dxa"/>
            <w:vAlign w:val="bottom"/>
            <w:tcBorders>
              <w:top w:val="single" w:sz="8" w:color="auto"/>
            </w:tcBorders>
          </w:tcPr>
          <w:p>
            <w:pPr>
              <w:spacing w:after="0"/>
              <w:rPr>
                <w:sz w:val="15"/>
                <w:szCs w:val="15"/>
                <w:color w:val="auto"/>
              </w:rPr>
            </w:pPr>
          </w:p>
        </w:tc>
        <w:tc>
          <w:tcPr>
            <w:tcW w:w="13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Q3 2026</w:t>
            </w:r>
          </w:p>
        </w:tc>
        <w:tc>
          <w:tcPr>
            <w:tcW w:w="5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Q3 2025</w:t>
            </w:r>
          </w:p>
        </w:tc>
        <w:tc>
          <w:tcPr>
            <w:tcW w:w="50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Borders>
              <w:bottom w:val="single" w:sz="8" w:color="auto"/>
            </w:tcBorders>
          </w:tcPr>
          <w:p>
            <w:pPr>
              <w:jc w:val="center"/>
              <w:ind w:left="413"/>
              <w:spacing w:after="0"/>
              <w:rPr>
                <w:sz w:val="20"/>
                <w:szCs w:val="20"/>
                <w:color w:val="auto"/>
              </w:rPr>
            </w:pPr>
            <w:r>
              <w:rPr>
                <w:rFonts w:ascii="Arial" w:cs="Arial" w:eastAsia="Arial" w:hAnsi="Arial"/>
                <w:sz w:val="16"/>
                <w:szCs w:val="16"/>
                <w:b w:val="1"/>
                <w:bCs w:val="1"/>
                <w:color w:val="auto"/>
              </w:rPr>
              <w:t>YOY</w:t>
            </w:r>
          </w:p>
        </w:tc>
        <w:tc>
          <w:tcPr>
            <w:tcW w:w="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00" w:type="dxa"/>
            <w:vAlign w:val="bottom"/>
            <w:gridSpan w:val="3"/>
            <w:shd w:val="clear" w:color="auto" w:fill="CCECFF"/>
          </w:tcPr>
          <w:p>
            <w:pPr>
              <w:spacing w:after="0" w:line="210" w:lineRule="exact"/>
              <w:rPr>
                <w:sz w:val="20"/>
                <w:szCs w:val="20"/>
                <w:color w:val="auto"/>
              </w:rPr>
            </w:pPr>
            <w:r>
              <w:rPr>
                <w:rFonts w:ascii="Arial" w:cs="Arial" w:eastAsia="Arial" w:hAnsi="Arial"/>
                <w:sz w:val="18"/>
                <w:szCs w:val="18"/>
                <w:color w:val="auto"/>
              </w:rPr>
              <w:t xml:space="preserve">Aurora </w:t>
            </w:r>
            <w:r>
              <w:rPr>
                <w:rFonts w:ascii="Arial" w:cs="Arial" w:eastAsia="Arial" w:hAnsi="Arial"/>
                <w:sz w:val="24"/>
                <w:szCs w:val="24"/>
                <w:color w:val="auto"/>
                <w:vertAlign w:val="superscript"/>
              </w:rPr>
              <w:t>(1)</w:t>
            </w:r>
          </w:p>
        </w:tc>
        <w:tc>
          <w:tcPr>
            <w:tcW w:w="1220" w:type="dxa"/>
            <w:vAlign w:val="bottom"/>
            <w:shd w:val="clear" w:color="auto" w:fill="CCECFF"/>
          </w:tcPr>
          <w:p>
            <w:pPr>
              <w:jc w:val="right"/>
              <w:ind w:right="1033"/>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319.8</w:t>
            </w:r>
          </w:p>
        </w:tc>
        <w:tc>
          <w:tcPr>
            <w:tcW w:w="200" w:type="dxa"/>
            <w:vAlign w:val="bottom"/>
            <w:shd w:val="clear" w:color="auto" w:fill="CCECFF"/>
          </w:tcPr>
          <w:p>
            <w:pPr>
              <w:spacing w:after="0"/>
              <w:rPr>
                <w:sz w:val="18"/>
                <w:szCs w:val="18"/>
                <w:color w:val="auto"/>
              </w:rPr>
            </w:pPr>
          </w:p>
        </w:tc>
        <w:tc>
          <w:tcPr>
            <w:tcW w:w="1360" w:type="dxa"/>
            <w:vAlign w:val="bottom"/>
            <w:gridSpan w:val="2"/>
            <w:shd w:val="clear" w:color="auto" w:fill="CCECFF"/>
          </w:tcPr>
          <w:p>
            <w:pPr>
              <w:jc w:val="right"/>
              <w:ind w:right="1015"/>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337.8</w:t>
            </w:r>
          </w:p>
        </w:tc>
        <w:tc>
          <w:tcPr>
            <w:tcW w:w="320" w:type="dxa"/>
            <w:vAlign w:val="bottom"/>
            <w:shd w:val="clear" w:color="auto" w:fill="CCECFF"/>
          </w:tcPr>
          <w:p>
            <w:pPr>
              <w:spacing w:after="0"/>
              <w:rPr>
                <w:sz w:val="18"/>
                <w:szCs w:val="18"/>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(5.3)</w:t>
            </w:r>
          </w:p>
        </w:tc>
        <w:tc>
          <w:tcPr>
            <w:tcW w:w="520" w:type="dxa"/>
            <w:vAlign w:val="bottom"/>
            <w:shd w:val="clear" w:color="auto" w:fill="CCECFF"/>
          </w:tcPr>
          <w:p>
            <w:pPr>
              <w:jc w:val="right"/>
              <w:ind w:right="2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line="216" w:lineRule="exact"/>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4"/>
                <w:szCs w:val="24"/>
                <w:color w:val="auto"/>
                <w:vertAlign w:val="superscript"/>
              </w:rPr>
              <w:t>(2)</w:t>
            </w:r>
          </w:p>
        </w:tc>
        <w:tc>
          <w:tcPr>
            <w:tcW w:w="12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NM</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400" w:type="dxa"/>
            <w:vAlign w:val="bottom"/>
            <w:tcBorders>
              <w:top w:val="single" w:sz="8" w:color="CCECFF"/>
              <w:bottom w:val="single" w:sz="8" w:color="CCECFF"/>
            </w:tcBorders>
            <w:gridSpan w:val="3"/>
            <w:shd w:val="clear" w:color="auto" w:fill="CCECFF"/>
          </w:tcPr>
          <w:p>
            <w:pPr>
              <w:spacing w:after="0" w:line="182" w:lineRule="exact"/>
              <w:rPr>
                <w:sz w:val="20"/>
                <w:szCs w:val="20"/>
                <w:color w:val="auto"/>
              </w:rPr>
            </w:pPr>
            <w:r>
              <w:rPr>
                <w:rFonts w:ascii="Arial" w:cs="Arial" w:eastAsia="Arial" w:hAnsi="Arial"/>
                <w:sz w:val="18"/>
                <w:szCs w:val="18"/>
                <w:b w:val="1"/>
                <w:bCs w:val="1"/>
                <w:color w:val="auto"/>
              </w:rPr>
              <w:t>Total net sales</w:t>
            </w:r>
          </w:p>
        </w:tc>
        <w:tc>
          <w:tcPr>
            <w:tcW w:w="1220" w:type="dxa"/>
            <w:vAlign w:val="bottom"/>
            <w:tcBorders>
              <w:top w:val="single" w:sz="8" w:color="auto"/>
              <w:bottom w:val="single" w:sz="8" w:color="auto"/>
            </w:tcBorders>
            <w:shd w:val="clear" w:color="auto" w:fill="CCECFF"/>
          </w:tcPr>
          <w:p>
            <w:pPr>
              <w:jc w:val="right"/>
              <w:ind w:right="1033"/>
              <w:spacing w:after="0" w:line="182"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CFF"/>
          </w:tcPr>
          <w:p>
            <w:pPr>
              <w:jc w:val="right"/>
              <w:spacing w:after="0" w:line="182" w:lineRule="exact"/>
              <w:rPr>
                <w:sz w:val="20"/>
                <w:szCs w:val="20"/>
                <w:color w:val="auto"/>
              </w:rPr>
            </w:pPr>
            <w:r>
              <w:rPr>
                <w:rFonts w:ascii="Arial" w:cs="Arial" w:eastAsia="Arial" w:hAnsi="Arial"/>
                <w:sz w:val="18"/>
                <w:szCs w:val="18"/>
                <w:color w:val="auto"/>
              </w:rPr>
              <w:t>319.7</w:t>
            </w:r>
          </w:p>
        </w:tc>
        <w:tc>
          <w:tcPr>
            <w:tcW w:w="200" w:type="dxa"/>
            <w:vAlign w:val="bottom"/>
            <w:tcBorders>
              <w:top w:val="single" w:sz="8" w:color="CCECFF"/>
              <w:bottom w:val="single" w:sz="8" w:color="CCECFF"/>
            </w:tcBorders>
            <w:shd w:val="clear" w:color="auto" w:fill="CCECFF"/>
          </w:tcPr>
          <w:p>
            <w:pPr>
              <w:spacing w:after="0"/>
              <w:rPr>
                <w:sz w:val="20"/>
                <w:szCs w:val="20"/>
                <w:color w:val="auto"/>
              </w:rPr>
            </w:pPr>
          </w:p>
        </w:tc>
        <w:tc>
          <w:tcPr>
            <w:tcW w:w="160" w:type="dxa"/>
            <w:vAlign w:val="bottom"/>
            <w:tcBorders>
              <w:top w:val="single" w:sz="8" w:color="CCECFF"/>
              <w:bottom w:val="single" w:sz="8" w:color="CCECFF"/>
            </w:tcBorders>
            <w:shd w:val="clear" w:color="auto" w:fill="CCECFF"/>
          </w:tcPr>
          <w:p>
            <w:pPr>
              <w:spacing w:after="0"/>
              <w:rPr>
                <w:sz w:val="20"/>
                <w:szCs w:val="20"/>
                <w:color w:val="auto"/>
              </w:rPr>
            </w:pPr>
          </w:p>
        </w:tc>
        <w:tc>
          <w:tcPr>
            <w:tcW w:w="1200" w:type="dxa"/>
            <w:vAlign w:val="bottom"/>
            <w:tcBorders>
              <w:top w:val="single" w:sz="8" w:color="auto"/>
              <w:bottom w:val="single" w:sz="8" w:color="auto"/>
            </w:tcBorders>
            <w:shd w:val="clear" w:color="auto" w:fill="CCECFF"/>
          </w:tcPr>
          <w:p>
            <w:pPr>
              <w:jc w:val="right"/>
              <w:ind w:right="1015"/>
              <w:spacing w:after="0" w:line="182"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CFF"/>
          </w:tcPr>
          <w:p>
            <w:pPr>
              <w:jc w:val="right"/>
              <w:spacing w:after="0" w:line="182" w:lineRule="exact"/>
              <w:rPr>
                <w:sz w:val="20"/>
                <w:szCs w:val="20"/>
                <w:color w:val="auto"/>
              </w:rPr>
            </w:pPr>
            <w:r>
              <w:rPr>
                <w:rFonts w:ascii="Arial" w:cs="Arial" w:eastAsia="Arial" w:hAnsi="Arial"/>
                <w:sz w:val="18"/>
                <w:szCs w:val="18"/>
                <w:color w:val="auto"/>
              </w:rPr>
              <w:t>337.8</w:t>
            </w:r>
          </w:p>
        </w:tc>
        <w:tc>
          <w:tcPr>
            <w:tcW w:w="320" w:type="dxa"/>
            <w:vAlign w:val="bottom"/>
            <w:tcBorders>
              <w:top w:val="single" w:sz="8" w:color="CCECFF"/>
              <w:bottom w:val="single" w:sz="8" w:color="CCECFF"/>
            </w:tcBorders>
            <w:shd w:val="clear" w:color="auto" w:fill="CCECFF"/>
          </w:tcPr>
          <w:p>
            <w:pPr>
              <w:spacing w:after="0"/>
              <w:rPr>
                <w:sz w:val="20"/>
                <w:szCs w:val="20"/>
                <w:color w:val="auto"/>
              </w:rPr>
            </w:pPr>
          </w:p>
        </w:tc>
        <w:tc>
          <w:tcPr>
            <w:tcW w:w="1200" w:type="dxa"/>
            <w:vAlign w:val="bottom"/>
            <w:tcBorders>
              <w:top w:val="single" w:sz="8" w:color="CCECFF"/>
              <w:bottom w:val="single" w:sz="8" w:color="CCECFF"/>
            </w:tcBorders>
            <w:shd w:val="clear" w:color="auto" w:fill="CCECFF"/>
          </w:tcPr>
          <w:p>
            <w:pPr>
              <w:jc w:val="right"/>
              <w:spacing w:after="0" w:line="182" w:lineRule="exact"/>
              <w:rPr>
                <w:sz w:val="20"/>
                <w:szCs w:val="20"/>
                <w:color w:val="auto"/>
              </w:rPr>
            </w:pPr>
            <w:r>
              <w:rPr>
                <w:rFonts w:ascii="Arial" w:cs="Arial" w:eastAsia="Arial" w:hAnsi="Arial"/>
                <w:sz w:val="18"/>
                <w:szCs w:val="18"/>
                <w:color w:val="auto"/>
              </w:rPr>
              <w:t>(5.4)</w:t>
            </w:r>
          </w:p>
        </w:tc>
        <w:tc>
          <w:tcPr>
            <w:tcW w:w="520" w:type="dxa"/>
            <w:vAlign w:val="bottom"/>
            <w:tcBorders>
              <w:top w:val="single" w:sz="8" w:color="CCECFF"/>
              <w:bottom w:val="single" w:sz="8" w:color="CCECFF"/>
            </w:tcBorders>
            <w:shd w:val="clear" w:color="auto" w:fill="CCECFF"/>
          </w:tcPr>
          <w:p>
            <w:pPr>
              <w:jc w:val="right"/>
              <w:ind w:right="210"/>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0"/>
        </w:trPr>
        <w:tc>
          <w:tcPr>
            <w:tcW w:w="5400" w:type="dxa"/>
            <w:vAlign w:val="bottom"/>
            <w:gridSpan w:val="3"/>
          </w:tcPr>
          <w:p>
            <w:pPr>
              <w:spacing w:after="0"/>
              <w:rPr>
                <w:sz w:val="20"/>
                <w:szCs w:val="20"/>
                <w:color w:val="auto"/>
              </w:rPr>
            </w:pPr>
            <w:r>
              <w:rPr>
                <w:rFonts w:ascii="Arial" w:cs="Arial" w:eastAsia="Arial" w:hAnsi="Arial"/>
                <w:sz w:val="18"/>
                <w:szCs w:val="18"/>
                <w:b w:val="1"/>
                <w:bCs w:val="1"/>
                <w:color w:val="auto"/>
              </w:rPr>
              <w:t>Segment Operating Income (Loss)</w:t>
            </w: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82"/>
        </w:trPr>
        <w:tc>
          <w:tcPr>
            <w:tcW w:w="16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2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Q3 2026</w:t>
            </w:r>
          </w:p>
        </w:tc>
        <w:tc>
          <w:tcPr>
            <w:tcW w:w="5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Q3 2025</w:t>
            </w:r>
          </w:p>
        </w:tc>
        <w:tc>
          <w:tcPr>
            <w:tcW w:w="50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Borders>
              <w:bottom w:val="single" w:sz="8" w:color="auto"/>
            </w:tcBorders>
          </w:tcPr>
          <w:p>
            <w:pPr>
              <w:jc w:val="center"/>
              <w:ind w:left="413"/>
              <w:spacing w:after="0"/>
              <w:rPr>
                <w:sz w:val="20"/>
                <w:szCs w:val="20"/>
                <w:color w:val="auto"/>
              </w:rPr>
            </w:pPr>
            <w:r>
              <w:rPr>
                <w:rFonts w:ascii="Arial" w:cs="Arial" w:eastAsia="Arial" w:hAnsi="Arial"/>
                <w:sz w:val="16"/>
                <w:szCs w:val="16"/>
                <w:b w:val="1"/>
                <w:bCs w:val="1"/>
                <w:color w:val="auto"/>
              </w:rPr>
              <w:t>YOY</w:t>
            </w:r>
          </w:p>
        </w:tc>
        <w:tc>
          <w:tcPr>
            <w:tcW w:w="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400" w:type="dxa"/>
            <w:vAlign w:val="bottom"/>
            <w:gridSpan w:val="3"/>
            <w:shd w:val="clear" w:color="auto" w:fill="CCECFF"/>
          </w:tcPr>
          <w:p>
            <w:pPr>
              <w:spacing w:after="0" w:line="210" w:lineRule="exact"/>
              <w:rPr>
                <w:sz w:val="20"/>
                <w:szCs w:val="20"/>
                <w:color w:val="auto"/>
              </w:rPr>
            </w:pPr>
            <w:r>
              <w:rPr>
                <w:rFonts w:ascii="Arial" w:cs="Arial" w:eastAsia="Arial" w:hAnsi="Arial"/>
                <w:sz w:val="18"/>
                <w:szCs w:val="18"/>
                <w:color w:val="auto"/>
              </w:rPr>
              <w:t xml:space="preserve">Aurora </w:t>
            </w:r>
            <w:r>
              <w:rPr>
                <w:rFonts w:ascii="Arial" w:cs="Arial" w:eastAsia="Arial" w:hAnsi="Arial"/>
                <w:sz w:val="24"/>
                <w:szCs w:val="24"/>
                <w:color w:val="auto"/>
                <w:vertAlign w:val="superscript"/>
              </w:rPr>
              <w:t>(1)</w:t>
            </w:r>
          </w:p>
        </w:tc>
        <w:tc>
          <w:tcPr>
            <w:tcW w:w="1220" w:type="dxa"/>
            <w:vAlign w:val="bottom"/>
            <w:shd w:val="clear" w:color="auto" w:fill="CCECFF"/>
          </w:tcPr>
          <w:p>
            <w:pPr>
              <w:jc w:val="right"/>
              <w:ind w:right="1033"/>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23.0</w:t>
            </w:r>
          </w:p>
        </w:tc>
        <w:tc>
          <w:tcPr>
            <w:tcW w:w="200" w:type="dxa"/>
            <w:vAlign w:val="bottom"/>
            <w:shd w:val="clear" w:color="auto" w:fill="CCECFF"/>
          </w:tcPr>
          <w:p>
            <w:pPr>
              <w:spacing w:after="0"/>
              <w:rPr>
                <w:sz w:val="18"/>
                <w:szCs w:val="18"/>
                <w:color w:val="auto"/>
              </w:rPr>
            </w:pPr>
          </w:p>
        </w:tc>
        <w:tc>
          <w:tcPr>
            <w:tcW w:w="1360" w:type="dxa"/>
            <w:vAlign w:val="bottom"/>
            <w:gridSpan w:val="2"/>
            <w:shd w:val="clear" w:color="auto" w:fill="CCECFF"/>
          </w:tcPr>
          <w:p>
            <w:pPr>
              <w:jc w:val="right"/>
              <w:ind w:right="1015"/>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25.5</w:t>
            </w:r>
          </w:p>
        </w:tc>
        <w:tc>
          <w:tcPr>
            <w:tcW w:w="320" w:type="dxa"/>
            <w:vAlign w:val="bottom"/>
            <w:shd w:val="clear" w:color="auto" w:fill="CCECFF"/>
          </w:tcPr>
          <w:p>
            <w:pPr>
              <w:spacing w:after="0"/>
              <w:rPr>
                <w:sz w:val="18"/>
                <w:szCs w:val="18"/>
                <w:color w:val="auto"/>
              </w:rPr>
            </w:pPr>
          </w:p>
        </w:tc>
        <w:tc>
          <w:tcPr>
            <w:tcW w:w="1720" w:type="dxa"/>
            <w:vAlign w:val="bottom"/>
            <w:gridSpan w:val="2"/>
            <w:shd w:val="clear" w:color="auto" w:fill="CCECFF"/>
          </w:tcPr>
          <w:p>
            <w:pPr>
              <w:jc w:val="right"/>
              <w:ind w:right="270"/>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03"/>
        </w:trPr>
        <w:tc>
          <w:tcPr>
            <w:tcW w:w="5400" w:type="dxa"/>
            <w:vAlign w:val="bottom"/>
            <w:gridSpan w:val="3"/>
          </w:tcPr>
          <w:p>
            <w:pPr>
              <w:spacing w:after="0" w:line="202" w:lineRule="exact"/>
              <w:rPr>
                <w:sz w:val="20"/>
                <w:szCs w:val="20"/>
                <w:color w:val="auto"/>
              </w:rPr>
            </w:pPr>
            <w:r>
              <w:rPr>
                <w:rFonts w:ascii="Arial" w:cs="Arial" w:eastAsia="Arial" w:hAnsi="Arial"/>
                <w:sz w:val="17"/>
                <w:szCs w:val="17"/>
                <w:color w:val="auto"/>
              </w:rPr>
              <w:t xml:space="preserve">Corporate and other </w:t>
            </w:r>
            <w:r>
              <w:rPr>
                <w:rFonts w:ascii="Arial" w:cs="Arial" w:eastAsia="Arial" w:hAnsi="Arial"/>
                <w:sz w:val="23"/>
                <w:szCs w:val="23"/>
                <w:color w:val="auto"/>
                <w:vertAlign w:val="superscript"/>
              </w:rPr>
              <w:t>(3)</w:t>
            </w:r>
          </w:p>
        </w:tc>
        <w:tc>
          <w:tcPr>
            <w:tcW w:w="1220" w:type="dxa"/>
            <w:vAlign w:val="bottom"/>
          </w:tcPr>
          <w:p>
            <w:pPr>
              <w:spacing w:after="0"/>
              <w:rPr>
                <w:sz w:val="17"/>
                <w:szCs w:val="17"/>
                <w:color w:val="auto"/>
              </w:rPr>
            </w:pP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(0.1)</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(37.0)</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(99.7)</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gridSpan w:val="3"/>
            <w:shd w:val="clear" w:color="auto" w:fill="CCECFF"/>
          </w:tcPr>
          <w:p>
            <w:pPr>
              <w:spacing w:after="0" w:line="182" w:lineRule="exact"/>
              <w:rPr>
                <w:sz w:val="20"/>
                <w:szCs w:val="20"/>
                <w:color w:val="auto"/>
              </w:rPr>
            </w:pPr>
            <w:r>
              <w:rPr>
                <w:rFonts w:ascii="Arial" w:cs="Arial" w:eastAsia="Arial" w:hAnsi="Arial"/>
                <w:sz w:val="18"/>
                <w:szCs w:val="18"/>
                <w:b w:val="1"/>
                <w:bCs w:val="1"/>
                <w:color w:val="auto"/>
              </w:rPr>
              <w:t>Total operating income (loss)</w:t>
            </w:r>
          </w:p>
        </w:tc>
        <w:tc>
          <w:tcPr>
            <w:tcW w:w="1220" w:type="dxa"/>
            <w:vAlign w:val="bottom"/>
            <w:shd w:val="clear" w:color="auto" w:fill="CCECFF"/>
          </w:tcPr>
          <w:p>
            <w:pPr>
              <w:jc w:val="right"/>
              <w:ind w:right="1033"/>
              <w:spacing w:after="0" w:line="182"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CFF"/>
          </w:tcPr>
          <w:p>
            <w:pPr>
              <w:jc w:val="right"/>
              <w:spacing w:after="0" w:line="182" w:lineRule="exact"/>
              <w:rPr>
                <w:sz w:val="20"/>
                <w:szCs w:val="20"/>
                <w:color w:val="auto"/>
              </w:rPr>
            </w:pPr>
            <w:r>
              <w:rPr>
                <w:rFonts w:ascii="Arial" w:cs="Arial" w:eastAsia="Arial" w:hAnsi="Arial"/>
                <w:sz w:val="18"/>
                <w:szCs w:val="18"/>
                <w:color w:val="auto"/>
              </w:rPr>
              <w:t>22.9</w:t>
            </w:r>
          </w:p>
        </w:tc>
        <w:tc>
          <w:tcPr>
            <w:tcW w:w="20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200" w:type="dxa"/>
            <w:vAlign w:val="bottom"/>
            <w:shd w:val="clear" w:color="auto" w:fill="CCECFF"/>
          </w:tcPr>
          <w:p>
            <w:pPr>
              <w:jc w:val="right"/>
              <w:ind w:right="1015"/>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CFF"/>
          </w:tcPr>
          <w:p>
            <w:pPr>
              <w:jc w:val="right"/>
              <w:ind w:right="260"/>
              <w:spacing w:after="0" w:line="182" w:lineRule="exact"/>
              <w:rPr>
                <w:sz w:val="20"/>
                <w:szCs w:val="20"/>
                <w:color w:val="auto"/>
              </w:rPr>
            </w:pPr>
            <w:r>
              <w:rPr>
                <w:rFonts w:ascii="Arial" w:cs="Arial" w:eastAsia="Arial" w:hAnsi="Arial"/>
                <w:sz w:val="18"/>
                <w:szCs w:val="18"/>
                <w:color w:val="auto"/>
              </w:rPr>
              <w:t>(11.5)</w:t>
            </w:r>
          </w:p>
        </w:tc>
        <w:tc>
          <w:tcPr>
            <w:tcW w:w="1200" w:type="dxa"/>
            <w:vAlign w:val="bottom"/>
            <w:shd w:val="clear" w:color="auto" w:fill="CCECFF"/>
          </w:tcPr>
          <w:p>
            <w:pPr>
              <w:jc w:val="right"/>
              <w:ind w:right="33"/>
              <w:spacing w:after="0" w:line="182" w:lineRule="exact"/>
              <w:rPr>
                <w:sz w:val="20"/>
                <w:szCs w:val="20"/>
                <w:color w:val="auto"/>
              </w:rPr>
            </w:pPr>
            <w:r>
              <w:rPr>
                <w:rFonts w:ascii="Arial" w:cs="Arial" w:eastAsia="Arial" w:hAnsi="Arial"/>
                <w:sz w:val="18"/>
                <w:szCs w:val="18"/>
                <w:color w:val="auto"/>
              </w:rPr>
              <w:t>NM</w:t>
            </w:r>
          </w:p>
        </w:tc>
        <w:tc>
          <w:tcPr>
            <w:tcW w:w="5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tcBorders>
              <w:top w:val="single" w:sz="8" w:color="CCECFF"/>
            </w:tcBorders>
            <w:shd w:val="clear" w:color="auto" w:fill="CCECFF"/>
          </w:tcPr>
          <w:p>
            <w:pPr>
              <w:spacing w:after="0" w:line="20" w:lineRule="exact"/>
              <w:rPr>
                <w:sz w:val="1"/>
                <w:szCs w:val="1"/>
                <w:color w:val="auto"/>
              </w:rPr>
            </w:pPr>
          </w:p>
        </w:tc>
        <w:tc>
          <w:tcPr>
            <w:tcW w:w="1320" w:type="dxa"/>
            <w:vAlign w:val="bottom"/>
            <w:tcBorders>
              <w:top w:val="single" w:sz="8" w:color="CCECFF"/>
            </w:tcBorders>
            <w:shd w:val="clear" w:color="auto" w:fill="CCECFF"/>
          </w:tcPr>
          <w:p>
            <w:pPr>
              <w:spacing w:after="0" w:line="20" w:lineRule="exact"/>
              <w:rPr>
                <w:sz w:val="1"/>
                <w:szCs w:val="1"/>
                <w:color w:val="auto"/>
              </w:rPr>
            </w:pPr>
          </w:p>
        </w:tc>
        <w:tc>
          <w:tcPr>
            <w:tcW w:w="2460" w:type="dxa"/>
            <w:vAlign w:val="bottom"/>
            <w:tcBorders>
              <w:top w:val="single" w:sz="8" w:color="CCECFF"/>
            </w:tcBorders>
            <w:shd w:val="clear" w:color="auto" w:fill="CCEC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CFF"/>
            </w:tcBorders>
            <w:shd w:val="clear" w:color="auto" w:fill="CCECFF"/>
          </w:tcPr>
          <w:p>
            <w:pPr>
              <w:spacing w:after="0" w:line="20" w:lineRule="exact"/>
              <w:rPr>
                <w:sz w:val="1"/>
                <w:szCs w:val="1"/>
                <w:color w:val="auto"/>
              </w:rPr>
            </w:pPr>
          </w:p>
        </w:tc>
        <w:tc>
          <w:tcPr>
            <w:tcW w:w="160" w:type="dxa"/>
            <w:vAlign w:val="bottom"/>
            <w:tcBorders>
              <w:top w:val="single" w:sz="8" w:color="CCECFF"/>
            </w:tcBorders>
            <w:shd w:val="clear" w:color="auto" w:fill="CCEC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CFF"/>
            </w:tcBorders>
            <w:shd w:val="clear" w:color="auto" w:fill="CCECFF"/>
          </w:tcPr>
          <w:p>
            <w:pPr>
              <w:spacing w:after="0" w:line="20" w:lineRule="exact"/>
              <w:rPr>
                <w:sz w:val="1"/>
                <w:szCs w:val="1"/>
                <w:color w:val="auto"/>
              </w:rPr>
            </w:pPr>
          </w:p>
        </w:tc>
        <w:tc>
          <w:tcPr>
            <w:tcW w:w="1200" w:type="dxa"/>
            <w:vAlign w:val="bottom"/>
            <w:tcBorders>
              <w:top w:val="single" w:sz="8" w:color="CCECFF"/>
            </w:tcBorders>
            <w:shd w:val="clear" w:color="auto" w:fill="CCECFF"/>
          </w:tcPr>
          <w:p>
            <w:pPr>
              <w:spacing w:after="0" w:line="20" w:lineRule="exact"/>
              <w:rPr>
                <w:sz w:val="1"/>
                <w:szCs w:val="1"/>
                <w:color w:val="auto"/>
              </w:rPr>
            </w:pPr>
          </w:p>
        </w:tc>
        <w:tc>
          <w:tcPr>
            <w:tcW w:w="52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-2193925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-2193925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-1036320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-1019175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-1173480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-1036320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-1019175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-1173480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-24765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Adjusted EBITDA (See “Non-GAAP Financial Measures,” below)</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 Change</w:t>
            </w:r>
          </w:p>
        </w:tc>
        <w:tc>
          <w:tcPr>
            <w:tcW w:w="460" w:type="dxa"/>
            <w:vAlign w:val="bottom"/>
          </w:tcPr>
          <w:p>
            <w:pPr>
              <w:spacing w:after="0"/>
              <w:rPr>
                <w:sz w:val="16"/>
                <w:szCs w:val="16"/>
                <w:color w:val="auto"/>
              </w:rPr>
            </w:pPr>
          </w:p>
        </w:tc>
      </w:tr>
      <w:tr>
        <w:trPr>
          <w:trHeight w:val="203"/>
        </w:trPr>
        <w:tc>
          <w:tcPr>
            <w:tcW w:w="5400" w:type="dxa"/>
            <w:vAlign w:val="bottom"/>
          </w:tcPr>
          <w:p>
            <w:pPr>
              <w:spacing w:after="0"/>
              <w:rPr>
                <w:sz w:val="17"/>
                <w:szCs w:val="17"/>
                <w:color w:val="auto"/>
              </w:rPr>
            </w:pP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Q3 2026</w:t>
            </w:r>
          </w:p>
        </w:tc>
        <w:tc>
          <w:tcPr>
            <w:tcW w:w="4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Q3 2025</w:t>
            </w:r>
          </w:p>
        </w:tc>
        <w:tc>
          <w:tcPr>
            <w:tcW w:w="4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Borders>
              <w:bottom w:val="single" w:sz="8" w:color="auto"/>
            </w:tcBorders>
          </w:tcPr>
          <w:p>
            <w:pPr>
              <w:jc w:val="right"/>
              <w:ind w:right="154"/>
              <w:spacing w:after="0"/>
              <w:rPr>
                <w:sz w:val="20"/>
                <w:szCs w:val="20"/>
                <w:color w:val="auto"/>
              </w:rPr>
            </w:pPr>
            <w:r>
              <w:rPr>
                <w:rFonts w:ascii="Arial" w:cs="Arial" w:eastAsia="Arial" w:hAnsi="Arial"/>
                <w:sz w:val="16"/>
                <w:szCs w:val="16"/>
                <w:b w:val="1"/>
                <w:bCs w:val="1"/>
                <w:color w:val="auto"/>
              </w:rPr>
              <w:t>YOY</w:t>
            </w:r>
          </w:p>
        </w:tc>
        <w:tc>
          <w:tcPr>
            <w:tcW w:w="460" w:type="dxa"/>
            <w:vAlign w:val="bottom"/>
            <w:tcBorders>
              <w:bottom w:val="single" w:sz="8" w:color="auto"/>
            </w:tcBorders>
          </w:tcPr>
          <w:p>
            <w:pPr>
              <w:spacing w:after="0"/>
              <w:rPr>
                <w:sz w:val="17"/>
                <w:szCs w:val="17"/>
                <w:color w:val="auto"/>
              </w:rPr>
            </w:pPr>
          </w:p>
        </w:tc>
      </w:tr>
      <w:tr>
        <w:trPr>
          <w:trHeight w:val="209"/>
        </w:trPr>
        <w:tc>
          <w:tcPr>
            <w:tcW w:w="5400" w:type="dxa"/>
            <w:vAlign w:val="bottom"/>
            <w:shd w:val="clear" w:color="auto" w:fill="CCECFF"/>
          </w:tcPr>
          <w:p>
            <w:pPr>
              <w:spacing w:after="0" w:line="210" w:lineRule="exact"/>
              <w:rPr>
                <w:sz w:val="20"/>
                <w:szCs w:val="20"/>
                <w:color w:val="auto"/>
              </w:rPr>
            </w:pPr>
            <w:r>
              <w:rPr>
                <w:rFonts w:ascii="Arial" w:cs="Arial" w:eastAsia="Arial" w:hAnsi="Arial"/>
                <w:sz w:val="18"/>
                <w:szCs w:val="18"/>
                <w:color w:val="auto"/>
              </w:rPr>
              <w:t xml:space="preserve">Aurora </w:t>
            </w:r>
            <w:r>
              <w:rPr>
                <w:rFonts w:ascii="Arial" w:cs="Arial" w:eastAsia="Arial" w:hAnsi="Arial"/>
                <w:sz w:val="24"/>
                <w:szCs w:val="24"/>
                <w:color w:val="auto"/>
                <w:vertAlign w:val="superscript"/>
              </w:rPr>
              <w:t>(1)</w:t>
            </w:r>
          </w:p>
        </w:tc>
        <w:tc>
          <w:tcPr>
            <w:tcW w:w="1280" w:type="dxa"/>
            <w:vAlign w:val="bottom"/>
            <w:shd w:val="clear" w:color="auto" w:fill="CCECFF"/>
          </w:tcPr>
          <w:p>
            <w:pPr>
              <w:jc w:val="right"/>
              <w:ind w:right="1093"/>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56.8</w:t>
            </w:r>
          </w:p>
        </w:tc>
        <w:tc>
          <w:tcPr>
            <w:tcW w:w="200" w:type="dxa"/>
            <w:vAlign w:val="bottom"/>
            <w:shd w:val="clear" w:color="auto" w:fill="CCECFF"/>
          </w:tcPr>
          <w:p>
            <w:pPr>
              <w:spacing w:after="0"/>
              <w:rPr>
                <w:sz w:val="18"/>
                <w:szCs w:val="18"/>
                <w:color w:val="auto"/>
              </w:rPr>
            </w:pPr>
          </w:p>
        </w:tc>
        <w:tc>
          <w:tcPr>
            <w:tcW w:w="1380" w:type="dxa"/>
            <w:vAlign w:val="bottom"/>
            <w:gridSpan w:val="2"/>
            <w:shd w:val="clear" w:color="auto" w:fill="CCECFF"/>
          </w:tcPr>
          <w:p>
            <w:pPr>
              <w:jc w:val="right"/>
              <w:ind w:right="1035"/>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54.1</w:t>
            </w:r>
          </w:p>
        </w:tc>
        <w:tc>
          <w:tcPr>
            <w:tcW w:w="320" w:type="dxa"/>
            <w:vAlign w:val="bottom"/>
            <w:shd w:val="clear" w:color="auto" w:fill="CCECFF"/>
          </w:tcPr>
          <w:p>
            <w:pPr>
              <w:spacing w:after="0"/>
              <w:rPr>
                <w:sz w:val="18"/>
                <w:szCs w:val="18"/>
                <w:color w:val="auto"/>
              </w:rPr>
            </w:pPr>
          </w:p>
        </w:tc>
        <w:tc>
          <w:tcPr>
            <w:tcW w:w="1260" w:type="dxa"/>
            <w:vAlign w:val="bottom"/>
            <w:shd w:val="clear" w:color="auto" w:fill="CCECFF"/>
          </w:tcPr>
          <w:p>
            <w:pPr>
              <w:jc w:val="right"/>
              <w:ind w:right="94"/>
              <w:spacing w:after="0"/>
              <w:rPr>
                <w:sz w:val="20"/>
                <w:szCs w:val="20"/>
                <w:color w:val="auto"/>
              </w:rPr>
            </w:pPr>
            <w:r>
              <w:rPr>
                <w:rFonts w:ascii="Arial" w:cs="Arial" w:eastAsia="Arial" w:hAnsi="Arial"/>
                <w:sz w:val="18"/>
                <w:szCs w:val="18"/>
                <w:color w:val="auto"/>
              </w:rPr>
              <w:t>5.0</w:t>
            </w:r>
          </w:p>
        </w:tc>
        <w:tc>
          <w:tcPr>
            <w:tcW w:w="460" w:type="dxa"/>
            <w:vAlign w:val="bottom"/>
            <w:shd w:val="clear" w:color="auto" w:fill="CCECFF"/>
          </w:tcPr>
          <w:p>
            <w:pPr>
              <w:jc w:val="right"/>
              <w:ind w:right="210"/>
              <w:spacing w:after="0"/>
              <w:rPr>
                <w:sz w:val="20"/>
                <w:szCs w:val="20"/>
                <w:color w:val="auto"/>
              </w:rPr>
            </w:pPr>
            <w:r>
              <w:rPr>
                <w:rFonts w:ascii="Arial" w:cs="Arial" w:eastAsia="Arial" w:hAnsi="Arial"/>
                <w:sz w:val="18"/>
                <w:szCs w:val="18"/>
                <w:color w:val="auto"/>
                <w:w w:val="87"/>
              </w:rPr>
              <w:t>%</w:t>
            </w:r>
          </w:p>
        </w:tc>
      </w:tr>
      <w:tr>
        <w:trPr>
          <w:trHeight w:val="203"/>
        </w:trPr>
        <w:tc>
          <w:tcPr>
            <w:tcW w:w="5400" w:type="dxa"/>
            <w:vAlign w:val="bottom"/>
          </w:tcPr>
          <w:p>
            <w:pPr>
              <w:spacing w:after="0" w:line="202" w:lineRule="exact"/>
              <w:rPr>
                <w:sz w:val="20"/>
                <w:szCs w:val="20"/>
                <w:color w:val="auto"/>
              </w:rPr>
            </w:pPr>
            <w:r>
              <w:rPr>
                <w:rFonts w:ascii="Arial" w:cs="Arial" w:eastAsia="Arial" w:hAnsi="Arial"/>
                <w:sz w:val="17"/>
                <w:szCs w:val="17"/>
                <w:color w:val="auto"/>
              </w:rPr>
              <w:t xml:space="preserve">Corporate and other </w:t>
            </w:r>
            <w:r>
              <w:rPr>
                <w:rFonts w:ascii="Arial" w:cs="Arial" w:eastAsia="Arial" w:hAnsi="Arial"/>
                <w:sz w:val="23"/>
                <w:szCs w:val="23"/>
                <w:color w:val="auto"/>
                <w:vertAlign w:val="superscript"/>
              </w:rPr>
              <w:t>(3)</w:t>
            </w:r>
          </w:p>
        </w:tc>
        <w:tc>
          <w:tcPr>
            <w:tcW w:w="1280" w:type="dxa"/>
            <w:vAlign w:val="bottom"/>
          </w:tcPr>
          <w:p>
            <w:pPr>
              <w:spacing w:after="0"/>
              <w:rPr>
                <w:sz w:val="17"/>
                <w:szCs w:val="17"/>
                <w:color w:val="auto"/>
              </w:rPr>
            </w:pPr>
          </w:p>
        </w:tc>
        <w:tc>
          <w:tcPr>
            <w:tcW w:w="6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(0.2)</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(29.3)</w:t>
            </w:r>
          </w:p>
        </w:tc>
        <w:tc>
          <w:tcPr>
            <w:tcW w:w="12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(99.3)</w:t>
            </w:r>
          </w:p>
        </w:tc>
        <w:tc>
          <w:tcPr>
            <w:tcW w:w="460" w:type="dxa"/>
            <w:vAlign w:val="bottom"/>
          </w:tcPr>
          <w:p>
            <w:pPr>
              <w:spacing w:after="0"/>
              <w:rPr>
                <w:sz w:val="17"/>
                <w:szCs w:val="17"/>
                <w:color w:val="auto"/>
              </w:rPr>
            </w:pPr>
          </w:p>
        </w:tc>
      </w:tr>
      <w:tr>
        <w:trPr>
          <w:trHeight w:val="236"/>
        </w:trPr>
        <w:tc>
          <w:tcPr>
            <w:tcW w:w="5400" w:type="dxa"/>
            <w:vAlign w:val="bottom"/>
            <w:tcBorders>
              <w:bottom w:val="single" w:sz="8" w:color="CCECFF"/>
            </w:tcBorders>
            <w:shd w:val="clear" w:color="auto" w:fill="CCECFF"/>
          </w:tcPr>
          <w:p>
            <w:pPr>
              <w:spacing w:after="0" w:line="182" w:lineRule="exact"/>
              <w:rPr>
                <w:sz w:val="20"/>
                <w:szCs w:val="20"/>
                <w:color w:val="auto"/>
              </w:rPr>
            </w:pPr>
            <w:r>
              <w:rPr>
                <w:rFonts w:ascii="Arial" w:cs="Arial" w:eastAsia="Arial" w:hAnsi="Arial"/>
                <w:sz w:val="18"/>
                <w:szCs w:val="18"/>
                <w:b w:val="1"/>
                <w:bCs w:val="1"/>
                <w:color w:val="auto"/>
              </w:rPr>
              <w:t>Total segment adjusted EBITDA</w:t>
            </w:r>
          </w:p>
        </w:tc>
        <w:tc>
          <w:tcPr>
            <w:tcW w:w="1280" w:type="dxa"/>
            <w:vAlign w:val="bottom"/>
            <w:tcBorders>
              <w:top w:val="single" w:sz="8" w:color="auto"/>
              <w:bottom w:val="single" w:sz="8" w:color="auto"/>
            </w:tcBorders>
            <w:shd w:val="clear" w:color="auto" w:fill="CCECFF"/>
          </w:tcPr>
          <w:p>
            <w:pPr>
              <w:jc w:val="right"/>
              <w:ind w:right="1093"/>
              <w:spacing w:after="0" w:line="182"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CFF"/>
          </w:tcPr>
          <w:p>
            <w:pPr>
              <w:jc w:val="right"/>
              <w:spacing w:after="0" w:line="182" w:lineRule="exact"/>
              <w:rPr>
                <w:sz w:val="20"/>
                <w:szCs w:val="20"/>
                <w:color w:val="auto"/>
              </w:rPr>
            </w:pPr>
            <w:r>
              <w:rPr>
                <w:rFonts w:ascii="Arial" w:cs="Arial" w:eastAsia="Arial" w:hAnsi="Arial"/>
                <w:sz w:val="18"/>
                <w:szCs w:val="18"/>
                <w:color w:val="auto"/>
              </w:rPr>
              <w:t>56.6</w:t>
            </w:r>
          </w:p>
        </w:tc>
        <w:tc>
          <w:tcPr>
            <w:tcW w:w="200" w:type="dxa"/>
            <w:vAlign w:val="bottom"/>
            <w:tcBorders>
              <w:bottom w:val="single" w:sz="8" w:color="CCECFF"/>
            </w:tcBorders>
            <w:shd w:val="clear" w:color="auto" w:fill="CCECFF"/>
          </w:tcPr>
          <w:p>
            <w:pPr>
              <w:spacing w:after="0"/>
              <w:rPr>
                <w:sz w:val="20"/>
                <w:szCs w:val="20"/>
                <w:color w:val="auto"/>
              </w:rPr>
            </w:pPr>
          </w:p>
        </w:tc>
        <w:tc>
          <w:tcPr>
            <w:tcW w:w="160" w:type="dxa"/>
            <w:vAlign w:val="bottom"/>
            <w:tcBorders>
              <w:bottom w:val="single" w:sz="8" w:color="CCECFF"/>
            </w:tcBorders>
            <w:shd w:val="clear" w:color="auto" w:fill="CCECFF"/>
          </w:tcPr>
          <w:p>
            <w:pPr>
              <w:spacing w:after="0"/>
              <w:rPr>
                <w:sz w:val="20"/>
                <w:szCs w:val="20"/>
                <w:color w:val="auto"/>
              </w:rPr>
            </w:pPr>
          </w:p>
        </w:tc>
        <w:tc>
          <w:tcPr>
            <w:tcW w:w="1220" w:type="dxa"/>
            <w:vAlign w:val="bottom"/>
            <w:tcBorders>
              <w:top w:val="single" w:sz="8" w:color="auto"/>
              <w:bottom w:val="single" w:sz="8" w:color="auto"/>
            </w:tcBorders>
            <w:shd w:val="clear" w:color="auto" w:fill="CCECFF"/>
          </w:tcPr>
          <w:p>
            <w:pPr>
              <w:jc w:val="right"/>
              <w:ind w:right="1035"/>
              <w:spacing w:after="0" w:line="182"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CFF"/>
          </w:tcPr>
          <w:p>
            <w:pPr>
              <w:jc w:val="right"/>
              <w:spacing w:after="0" w:line="182" w:lineRule="exact"/>
              <w:rPr>
                <w:sz w:val="20"/>
                <w:szCs w:val="20"/>
                <w:color w:val="auto"/>
              </w:rPr>
            </w:pPr>
            <w:r>
              <w:rPr>
                <w:rFonts w:ascii="Arial" w:cs="Arial" w:eastAsia="Arial" w:hAnsi="Arial"/>
                <w:sz w:val="18"/>
                <w:szCs w:val="18"/>
                <w:color w:val="auto"/>
              </w:rPr>
              <w:t>24.8</w:t>
            </w:r>
          </w:p>
        </w:tc>
        <w:tc>
          <w:tcPr>
            <w:tcW w:w="320" w:type="dxa"/>
            <w:vAlign w:val="bottom"/>
            <w:tcBorders>
              <w:bottom w:val="single" w:sz="8" w:color="CCECFF"/>
            </w:tcBorders>
            <w:shd w:val="clear" w:color="auto" w:fill="CCECFF"/>
          </w:tcPr>
          <w:p>
            <w:pPr>
              <w:spacing w:after="0"/>
              <w:rPr>
                <w:sz w:val="20"/>
                <w:szCs w:val="20"/>
                <w:color w:val="auto"/>
              </w:rPr>
            </w:pPr>
          </w:p>
        </w:tc>
        <w:tc>
          <w:tcPr>
            <w:tcW w:w="1260" w:type="dxa"/>
            <w:vAlign w:val="bottom"/>
            <w:tcBorders>
              <w:bottom w:val="single" w:sz="8" w:color="CCECFF"/>
            </w:tcBorders>
            <w:shd w:val="clear" w:color="auto" w:fill="CCECFF"/>
          </w:tcPr>
          <w:p>
            <w:pPr>
              <w:jc w:val="right"/>
              <w:ind w:right="94"/>
              <w:spacing w:after="0" w:line="182" w:lineRule="exact"/>
              <w:rPr>
                <w:sz w:val="20"/>
                <w:szCs w:val="20"/>
                <w:color w:val="auto"/>
              </w:rPr>
            </w:pPr>
            <w:r>
              <w:rPr>
                <w:rFonts w:ascii="Arial" w:cs="Arial" w:eastAsia="Arial" w:hAnsi="Arial"/>
                <w:sz w:val="18"/>
                <w:szCs w:val="18"/>
                <w:color w:val="auto"/>
              </w:rPr>
              <w:t>128.2</w:t>
            </w:r>
          </w:p>
        </w:tc>
        <w:tc>
          <w:tcPr>
            <w:tcW w:w="460" w:type="dxa"/>
            <w:vAlign w:val="bottom"/>
            <w:tcBorders>
              <w:bottom w:val="single" w:sz="8" w:color="CCECFF"/>
            </w:tcBorders>
            <w:shd w:val="clear" w:color="auto" w:fill="CCECFF"/>
          </w:tcPr>
          <w:p>
            <w:pPr>
              <w:jc w:val="right"/>
              <w:ind w:right="210"/>
              <w:spacing w:after="0" w:line="182" w:lineRule="exact"/>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-24765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-8255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-8255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18" w:lineRule="exact"/>
        <w:rPr>
          <w:sz w:val="20"/>
          <w:szCs w:val="20"/>
          <w:color w:val="auto"/>
        </w:rPr>
      </w:pPr>
    </w:p>
    <w:p>
      <w:pPr>
        <w:ind w:right="120" w:firstLine="8"/>
        <w:spacing w:after="0" w:line="234" w:lineRule="auto"/>
        <w:tabs>
          <w:tab w:leader="none" w:pos="27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Reflects the results of Aurora, our reportable segment, which represent substantially all of our net sales and exclude general corporate costs that were previously allocated to the divested RUCKUS and CCS segments because they were not directly attributable to the divested segments.</w:t>
      </w:r>
    </w:p>
    <w:p>
      <w:pPr>
        <w:spacing w:after="0" w:line="2" w:lineRule="exact"/>
        <w:rPr>
          <w:rFonts w:ascii="Arial" w:cs="Arial" w:eastAsia="Arial" w:hAnsi="Arial"/>
          <w:sz w:val="18"/>
          <w:szCs w:val="18"/>
          <w:color w:val="auto"/>
        </w:rPr>
      </w:pPr>
    </w:p>
    <w:p>
      <w:pPr>
        <w:ind w:right="800" w:firstLine="8"/>
        <w:spacing w:after="0" w:line="234" w:lineRule="auto"/>
        <w:tabs>
          <w:tab w:leader="none" w:pos="27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certain revenues reflected within continuing operations related to products associated with businesses affected by prior divestiture transactions. Such amounts continue to be reported within continuing operations based on the terms of the underlying transactions.</w:t>
      </w:r>
    </w:p>
    <w:p>
      <w:pPr>
        <w:spacing w:after="0" w:line="2" w:lineRule="exact"/>
        <w:rPr>
          <w:rFonts w:ascii="Arial" w:cs="Arial" w:eastAsia="Arial" w:hAnsi="Arial"/>
          <w:sz w:val="18"/>
          <w:szCs w:val="18"/>
          <w:color w:val="auto"/>
        </w:rPr>
      </w:pPr>
    </w:p>
    <w:p>
      <w:pPr>
        <w:jc w:val="both"/>
        <w:ind w:right="380" w:firstLine="8"/>
        <w:spacing w:after="0" w:line="239" w:lineRule="auto"/>
        <w:tabs>
          <w:tab w:leader="none" w:pos="27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Primarily reflects general corporate costs that were previously allocated to the divested RUCKUS and CCS segments. These indirect expenses have been classified as continuing operations because they were not directly attributable to the divested segments. The costs previously allocated to the CCS segment were reallocated to our remaining segments and partially offset by income under the Amphenol TSA beginning in the first quarter of 2026. Beginning in the third quarter of 2026, the costs previously allocated to the RUCKUS segment were reallocated to our remaining segment and partially offset by income under the Belden TSA.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Net Sales, Cash Flow and Balance Sheet</w:t>
      </w:r>
    </w:p>
    <w:p>
      <w:pPr>
        <w:spacing w:after="0" w:line="96" w:lineRule="exact"/>
        <w:rPr>
          <w:sz w:val="20"/>
          <w:szCs w:val="20"/>
          <w:color w:val="auto"/>
        </w:rPr>
      </w:pPr>
    </w:p>
    <w:p>
      <w:pPr>
        <w:ind w:left="1020" w:right="160" w:hanging="503"/>
        <w:spacing w:after="0" w:line="256" w:lineRule="auto"/>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Aurora net sales of $319.8 million decreased 5.3% compared with the same prior year period driven by a decrease in the legacy business, partially offset by an increase in the Access Technologies business.</w:t>
      </w:r>
    </w:p>
    <w:p>
      <w:pPr>
        <w:spacing w:after="0" w:line="48" w:lineRule="exact"/>
        <w:rPr>
          <w:rFonts w:ascii="Times New Roman" w:cs="Times New Roman" w:eastAsia="Times New Roman" w:hAnsi="Times New Roman"/>
          <w:sz w:val="20"/>
          <w:szCs w:val="20"/>
          <w:color w:val="auto"/>
        </w:rPr>
      </w:pPr>
    </w:p>
    <w:p>
      <w:pPr>
        <w:ind w:left="1020" w:right="160" w:hanging="503"/>
        <w:spacing w:after="0" w:line="256" w:lineRule="auto"/>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Aurora orders increased 41% compared with the same prior year period, while backlog totaled $410 million, up 3% compared with the same prior year period.</w:t>
      </w:r>
    </w:p>
    <w:p>
      <w:pPr>
        <w:spacing w:after="0" w:line="48"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GAAP cash flow used in operations in the third quarter of 2026 was $57.5 million.</w:t>
      </w:r>
    </w:p>
    <w:p>
      <w:pPr>
        <w:spacing w:after="0" w:line="106" w:lineRule="exact"/>
        <w:rPr>
          <w:rFonts w:ascii="Times New Roman" w:cs="Times New Roman" w:eastAsia="Times New Roman" w:hAnsi="Times New Roman"/>
          <w:sz w:val="20"/>
          <w:szCs w:val="20"/>
          <w:color w:val="auto"/>
        </w:rPr>
      </w:pPr>
    </w:p>
    <w:p>
      <w:pPr>
        <w:ind w:left="1020" w:right="60" w:hanging="503"/>
        <w:spacing w:after="0" w:line="260" w:lineRule="auto"/>
        <w:tabs>
          <w:tab w:leader="none" w:pos="1020" w:val="left"/>
        </w:tabs>
        <w:numPr>
          <w:ilvl w:val="0"/>
          <w:numId w:val="6"/>
        </w:numPr>
        <w:rPr>
          <w:rFonts w:ascii="Times New Roman" w:cs="Times New Roman" w:eastAsia="Times New Roman" w:hAnsi="Times New Roman"/>
          <w:sz w:val="19"/>
          <w:szCs w:val="19"/>
          <w:color w:val="auto"/>
        </w:rPr>
      </w:pPr>
      <w:r>
        <w:rPr>
          <w:rFonts w:ascii="Arial" w:cs="Arial" w:eastAsia="Arial" w:hAnsi="Arial"/>
          <w:sz w:val="19"/>
          <w:szCs w:val="19"/>
          <w:color w:val="auto"/>
        </w:rPr>
        <w:t>Free cash flow used in the third quarter of 2026 was $57.7 million after adjusting operating cash flow for $0.2 million of additions to property, plant and equipment. The cash flows related to discontinued operations have not been segregated. Accordingly, this cash flow information includes the results of continuing and discontinued operations.</w:t>
      </w:r>
    </w:p>
    <w:p>
      <w:pPr>
        <w:spacing w:after="0" w:line="45" w:lineRule="exact"/>
        <w:rPr>
          <w:rFonts w:ascii="Times New Roman" w:cs="Times New Roman" w:eastAsia="Times New Roman" w:hAnsi="Times New Roman"/>
          <w:sz w:val="19"/>
          <w:szCs w:val="19"/>
          <w:color w:val="auto"/>
        </w:rPr>
      </w:pPr>
    </w:p>
    <w:p>
      <w:pPr>
        <w:ind w:left="1020" w:hanging="503"/>
        <w:spacing w:after="0"/>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The Company ended the quarter with $683.1 million in cash and cash equivalents.</w:t>
      </w:r>
    </w:p>
    <w:p>
      <w:pPr>
        <w:spacing w:after="0" w:line="106" w:lineRule="exact"/>
        <w:rPr>
          <w:rFonts w:ascii="Times New Roman" w:cs="Times New Roman" w:eastAsia="Times New Roman" w:hAnsi="Times New Roman"/>
          <w:sz w:val="20"/>
          <w:szCs w:val="20"/>
          <w:color w:val="auto"/>
        </w:rPr>
      </w:pPr>
    </w:p>
    <w:p>
      <w:pPr>
        <w:ind w:left="1020" w:right="40" w:hanging="503"/>
        <w:spacing w:after="0" w:line="241" w:lineRule="auto"/>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As of September 30, 2026, the Company had no outstanding borrowings under its asset-based revolving credit facility and had availability of $158.9 million, after taking into account the borrowing base limitations and outstanding letters of credit. The Company ended the quarter with total liquidity of approximately $842.0 million.</w:t>
      </w: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Repurchase Plan</w:t>
      </w:r>
    </w:p>
    <w:p>
      <w:pPr>
        <w:spacing w:after="0" w:line="145"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In addition, the Company announced that its Board of Directors has approved a share repurchase program authorizing the Company to repurchase up to an aggregate of $100 million of its outstanding shares of common stock. The $100 million repurchase authorization is in addition to the $250 million in aggregate repurchase authorizations that were previously announced by the Company. The Company may repurchase shares in the open market, in privately negotiated transactions or in such other manners as determined by the Company, including through repurchase plans complying with the rules and regulations of the Securities and Exchange Commission (the “SEC”). The method, timing and amount of any repurchases made under the share repurchase program will depend on a variety of factors, including capital and liquidity requirements, market conditions and alternative uses for cash. The share repurchase program does not obligate the Company to repurchase any dollar amount or number of shares of common stock, and the program may be modified, suspended or discontinued at any time.</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Webcast and Investor Presentation</w:t>
      </w:r>
    </w:p>
    <w:p>
      <w:pPr>
        <w:spacing w:after="0" w:line="137" w:lineRule="exact"/>
        <w:rPr>
          <w:sz w:val="20"/>
          <w:szCs w:val="20"/>
          <w:color w:val="auto"/>
        </w:rPr>
      </w:pPr>
    </w:p>
    <w:p>
      <w:pPr>
        <w:ind w:right="660"/>
        <w:spacing w:after="0" w:line="257" w:lineRule="auto"/>
        <w:rPr>
          <w:sz w:val="20"/>
          <w:szCs w:val="20"/>
          <w:color w:val="auto"/>
        </w:rPr>
      </w:pPr>
      <w:r>
        <w:rPr>
          <w:rFonts w:ascii="Arial" w:cs="Arial" w:eastAsia="Arial" w:hAnsi="Arial"/>
          <w:sz w:val="20"/>
          <w:szCs w:val="20"/>
          <w:color w:val="auto"/>
        </w:rPr>
        <w:t>As previously announced, Vistance Networks will host a conference call today at 8:30 a.m. ET in which management will discuss third quarter of 2026 results. The conference call will also be webcast.</w:t>
      </w:r>
    </w:p>
    <w:p>
      <w:pPr>
        <w:spacing w:after="0" w:line="155"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The live, listen-only audio of the call will be available through a link on the Events and Presentations page of Vistance Networks’ Investor Relations website.</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A webcast replay will be archived on Vistance Networks’ website for a limited period of time following the conference call.</w:t>
      </w:r>
    </w:p>
    <w:p>
      <w:pPr>
        <w:spacing w:after="0" w:line="202" w:lineRule="exact"/>
        <w:rPr>
          <w:sz w:val="20"/>
          <w:szCs w:val="20"/>
          <w:color w:val="auto"/>
        </w:rPr>
      </w:pPr>
    </w:p>
    <w:p>
      <w:pPr>
        <w:ind w:right="180"/>
        <w:spacing w:after="0" w:line="241" w:lineRule="auto"/>
        <w:rPr>
          <w:sz w:val="20"/>
          <w:szCs w:val="20"/>
          <w:color w:val="auto"/>
        </w:rPr>
      </w:pPr>
      <w:r>
        <w:rPr>
          <w:rFonts w:ascii="Arial" w:cs="Arial" w:eastAsia="Arial" w:hAnsi="Arial"/>
          <w:sz w:val="20"/>
          <w:szCs w:val="20"/>
          <w:color w:val="auto"/>
        </w:rPr>
        <w:t>During the conference call, the Company may discuss and answer questions concerning business and financial developments and trends that have occurred after quarter-end. The Company’s responses to questions, as well as other matters discussed during the conference call, may contain or constitute information that has not been disclosed previously.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4" w:right="37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About Vistance Networks:</w:t>
      </w:r>
    </w:p>
    <w:p>
      <w:pPr>
        <w:spacing w:after="0" w:line="96" w:lineRule="exact"/>
        <w:rPr>
          <w:sz w:val="20"/>
          <w:szCs w:val="20"/>
          <w:color w:val="auto"/>
        </w:rPr>
      </w:pPr>
    </w:p>
    <w:p>
      <w:pPr>
        <w:ind w:right="20"/>
        <w:spacing w:after="0" w:line="237" w:lineRule="auto"/>
        <w:rPr>
          <w:sz w:val="20"/>
          <w:szCs w:val="20"/>
          <w:color w:val="auto"/>
        </w:rPr>
      </w:pPr>
      <w:r>
        <w:rPr>
          <w:rFonts w:ascii="Arial" w:cs="Arial" w:eastAsia="Arial" w:hAnsi="Arial"/>
          <w:sz w:val="20"/>
          <w:szCs w:val="20"/>
          <w:color w:val="auto"/>
        </w:rPr>
        <w:t xml:space="preserve">Vistance Networks (NASDAQ: VISN) shapes the future of communications technology, pushing past what is possible. We deliver solutions that bring reliability and performance to a world always in motion. Our global team of innovators and employees are trusted advisors who listen to customers first, then deliver value. Discover more at </w:t>
      </w:r>
      <w:r>
        <w:rPr>
          <w:rFonts w:ascii="Arial" w:cs="Arial" w:eastAsia="Arial" w:hAnsi="Arial"/>
          <w:sz w:val="20"/>
          <w:szCs w:val="20"/>
          <w:u w:val="single" w:color="auto"/>
          <w:color w:val="0048FA"/>
        </w:rPr>
        <w:t>www.vistancenetworks.com</w:t>
      </w:r>
      <w:r>
        <w:rPr>
          <w:rFonts w:ascii="Arial" w:cs="Arial" w:eastAsia="Arial" w:hAnsi="Arial"/>
          <w:sz w:val="20"/>
          <w:szCs w:val="20"/>
          <w:color w:val="0048FA"/>
        </w:rPr>
        <w:t>.</w:t>
      </w:r>
      <w:r>
        <w:rPr>
          <w:rFonts w:ascii="Arial" w:cs="Arial" w:eastAsia="Arial" w:hAnsi="Arial"/>
          <w:sz w:val="20"/>
          <w:szCs w:val="20"/>
          <w:color w:val="auto"/>
        </w:rPr>
        <w:t xml:space="preserve"> Follow us on LinkedIn.</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231" w:lineRule="auto"/>
        <w:rPr>
          <w:sz w:val="20"/>
          <w:szCs w:val="20"/>
          <w:color w:val="auto"/>
        </w:rPr>
      </w:pPr>
      <w:r>
        <w:rPr>
          <w:rFonts w:ascii="Arial" w:cs="Arial" w:eastAsia="Arial" w:hAnsi="Arial"/>
          <w:sz w:val="20"/>
          <w:szCs w:val="20"/>
          <w:color w:val="auto"/>
        </w:rPr>
        <w:t>Jenny Thompson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Jenny.Thompson@VistanceNetworks.com</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News Media Contact:</w:t>
      </w:r>
    </w:p>
    <w:p>
      <w:pPr>
        <w:spacing w:after="0" w:line="231" w:lineRule="auto"/>
        <w:rPr>
          <w:sz w:val="20"/>
          <w:szCs w:val="20"/>
          <w:color w:val="auto"/>
        </w:rPr>
      </w:pPr>
      <w:r>
        <w:rPr>
          <w:rFonts w:ascii="Arial" w:cs="Arial" w:eastAsia="Arial" w:hAnsi="Arial"/>
          <w:sz w:val="20"/>
          <w:szCs w:val="20"/>
          <w:color w:val="auto"/>
        </w:rPr>
        <w:t>Luke Hamer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Luke.Hamer@VistanceNetworks.com</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96" w:lineRule="exact"/>
        <w:rPr>
          <w:sz w:val="20"/>
          <w:szCs w:val="20"/>
          <w:color w:val="auto"/>
        </w:rPr>
      </w:pPr>
    </w:p>
    <w:p>
      <w:pPr>
        <w:spacing w:after="0" w:line="242" w:lineRule="auto"/>
        <w:rPr>
          <w:sz w:val="20"/>
          <w:szCs w:val="20"/>
          <w:color w:val="auto"/>
        </w:rPr>
      </w:pPr>
      <w:r>
        <w:rPr>
          <w:rFonts w:ascii="Arial" w:cs="Arial" w:eastAsia="Arial" w:hAnsi="Arial"/>
          <w:sz w:val="19"/>
          <w:szCs w:val="19"/>
          <w:color w:val="auto"/>
        </w:rPr>
        <w:t>Management believes that presenting certain non-GAAP financial measures enhances an investor’s understanding of our financial performance. Management further believes that these financial measures are useful in assessing Vistance Networks’ operating performance from period to period by excluding certain items that we believe are not representative of our core business. Management also uses certain of these financial measures for business planning purposes and in measuring Vistance Networks’ performance relative to that of its competitors. Management believes these financial measures are commonly used by investors to evaluate Vistance Networks’ performance and that of its competitors. However, Vistance Networks’ use of certain non-GAAP terms may vary from that of others in its industry. Non-GAAP financial measures should not be considered as alternatives to operating income (loss), net income (loss), cash flow from operations or any other performance measures derived in accordance with U.S. GAAP as measures of operating performance, operating cash flows or liquidity. A reconciliation of each of the non-GAAP measures discussed herein to their most comparable GAAP measures is below.</w:t>
      </w: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96"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This press release includes certain statements that constitute "forward-looking statements" within the meaning of Section 27A of the Securities Act of 1933, as amended, and Section 21E of the Securities Exchange Act of 1934, as amended, which reflect our current views with respect to future events and financial performance. These forward-looking statements are generally identified by their use of such terms and phrases as “intend,” “goal,” “estimate,” “expect,” “project,” “projections,” “plans,” “potential,” “anticipate,” “should,” “could,” “designed to,” “foreseeable future,” “believe,” “think,” “scheduled,” “outlook,” “target,” “guidance” and similar expressions, although not all forward-looking statements contain such terms. This list of indicative terms and phrases is not intended to be all-inclusive.</w:t>
      </w:r>
    </w:p>
    <w:p>
      <w:pPr>
        <w:spacing w:after="0" w:line="172"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These forward-looking statements are subject to various risks and uncertainties, many of which are outside our control, including, without limitation, our dependence on customers’ capital spending on data, communication and entertainment equipment, which could be negatively impacted by a regional or global economic downturn, among other factors; the potential impact of higher than normal inflation; concentration of sales among a limited number of customers; risks associated with our sales through channel partners; changes to the regulatory environment in which we and our customers operate; changes in technology; industry competition and the ability to retain customers through product innovation, introduction, and marketing; changes in cost and availability of key components, including memory chips, and the potential effect on customer pricing and timing of delivery of products to customers; risks related to our ability to implement price increases on our products and services; risks associated with our dependence on a limited number of key suppliers for certain components; risks related to the successful execution of our initiatives related to stranded costs reductions; potential difficulties in realigning manufacturing capacity and capabilities between our manufacturing facility and facilities of our contract manufacturers that may affect our ability to meet customer demands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8" w:name="page9"/>
    <w:bookmarkEnd w:id="8"/>
    <w:p>
      <w:pPr>
        <w:ind w:right="60"/>
        <w:spacing w:after="0"/>
        <w:rPr>
          <w:sz w:val="20"/>
          <w:szCs w:val="20"/>
          <w:color w:val="auto"/>
        </w:rPr>
      </w:pPr>
      <w:r>
        <w:rPr>
          <w:rFonts w:ascii="Arial" w:cs="Arial" w:eastAsia="Arial" w:hAnsi="Arial"/>
          <w:sz w:val="19"/>
          <w:szCs w:val="19"/>
          <w:color w:val="auto"/>
        </w:rPr>
        <w:t>for products; possible future restructuring actions; the risk that our manufacturing operations, including our contract manufacturers on which we rely, encounter capacity, production, quality, financial or other difficulties causing difficulty in meeting customer demands; our ability to access available credit or otherwise obtain financing on acceptable terms or at all; our ability to generate cash to service any future indebtedness; our ability to fully realize anticipated benefits from prior or future divestitures, acquisitions or equity investments; possible future additional impairment charges for fixed or intangible assets, including goodwill; our ability to attract and retain qualified key employees; labor unrest; product quality or performance issues, including those associated with our suppliers or contract manufacturers, and associated warranty claims; our ability to maintain effective management information technology systems and to successfully implement major systems initiatives; cyber security incidents, including data security breaches, ransomware or computer viruses; the use of open standards; the long-term impact of climate change; significant international operations exposing us to economic risks like variability in foreign exchange rates and inflation, as well as political, geopolitical and other risks, including the impact of wars, regional conflicts and terrorism; our ability to comply with governmental anti-corruption laws and regulations worldwide; the impact of export and import controls and sanctions worldwide on our supply chain and ability to compete in international markets; changes in the laws and policies in the U.S. affecting trade, including the risk and uncertainty related to tariffs or potential trade wars and potential changes to laws and policies, that may impact our products and costs; the costs of protecting or defending intellectual property; costs and challenges of compliance with domestic and foreign social and environmental laws; the impact of litigation and similar regulatory proceedings in which we are involved or may become involved, including the costs of such litigation; the scope, duration and impact of disease outbreaks and pandemics, such as COVID-19, on our business, including employees, sites, operations, customers, supply chain logistics and the global economy; our stock price volatility; income tax rate variability and ability to recover amounts recorded as deferred tax assets; and other factors beyond our control.</w:t>
      </w:r>
    </w:p>
    <w:p>
      <w:pPr>
        <w:spacing w:after="0" w:line="385"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These and other factors are discussed in greater detail under the heading "Risk Factors" and "Management's Discussion and Analysis of Financial Condition and Results of Operations" in our Annual Report on Form 10-K for the year ended December 31, 2025, and may be updated from time to time in our annual reports, quarterly reports, current reports and other filings we make with the Securities and Exchange Commission. Although the information contained in this press release represents our best judgment as of the date of this release based on information currently available and reasonable assumptions, we can give no assurance that the expectations will be attained or that any deviation will not be material. Given these uncertainties, we caution you not to place undue reliance on these forward-looking statements, which speak only as of the date made. We are not undertaking any duty or obligation to update this information to reflect developments or information obtained after the date of this press release, except to the extent required by law.</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885190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8" w:right="339" w:bottom="1440" w:gutter="0" w:footer="0" w:header="0"/>
        </w:sectPr>
      </w:pPr>
    </w:p>
    <w:bookmarkStart w:id="9" w:name="page10"/>
    <w:bookmarkEnd w:id="9"/>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(Unaudited -- In millions, except per share amounts)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3"/>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5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3"/>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5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Borders>
              <w:top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top w:val="single" w:sz="8" w:color="auto"/>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Net sales</w:t>
            </w:r>
          </w:p>
        </w:tc>
        <w:tc>
          <w:tcPr>
            <w:tcW w:w="6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320" w:type="dxa"/>
            <w:vAlign w:val="bottom"/>
            <w:shd w:val="clear" w:color="auto" w:fill="CCECFF"/>
          </w:tcPr>
          <w:p>
            <w:pPr>
              <w:spacing w:after="0"/>
              <w:rPr>
                <w:sz w:val="18"/>
                <w:szCs w:val="18"/>
                <w:color w:val="auto"/>
              </w:rPr>
            </w:pPr>
          </w:p>
        </w:tc>
        <w:tc>
          <w:tcPr>
            <w:tcW w:w="740" w:type="dxa"/>
            <w:vAlign w:val="bottom"/>
            <w:shd w:val="clear" w:color="auto" w:fill="CCECFF"/>
          </w:tcPr>
          <w:p>
            <w:pPr>
              <w:jc w:val="right"/>
              <w:ind w:right="577"/>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98"/>
              </w:rPr>
              <w:t>337.8</w:t>
            </w:r>
          </w:p>
        </w:tc>
        <w:tc>
          <w:tcPr>
            <w:tcW w:w="180" w:type="dxa"/>
            <w:vAlign w:val="bottom"/>
            <w:shd w:val="clear" w:color="auto" w:fill="CCECFF"/>
          </w:tcPr>
          <w:p>
            <w:pPr>
              <w:spacing w:after="0"/>
              <w:rPr>
                <w:sz w:val="18"/>
                <w:szCs w:val="18"/>
                <w:color w:val="auto"/>
              </w:rPr>
            </w:pPr>
          </w:p>
        </w:tc>
        <w:tc>
          <w:tcPr>
            <w:tcW w:w="3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937.7</w:t>
            </w:r>
          </w:p>
        </w:tc>
        <w:tc>
          <w:tcPr>
            <w:tcW w:w="180" w:type="dxa"/>
            <w:vAlign w:val="bottom"/>
            <w:shd w:val="clear" w:color="auto" w:fill="CCECFF"/>
          </w:tcPr>
          <w:p>
            <w:pPr>
              <w:spacing w:after="0"/>
              <w:rPr>
                <w:sz w:val="18"/>
                <w:szCs w:val="18"/>
                <w:color w:val="auto"/>
              </w:rPr>
            </w:pPr>
          </w:p>
        </w:tc>
        <w:tc>
          <w:tcPr>
            <w:tcW w:w="3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897.5</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3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217.4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320" w:type="dxa"/>
            <w:vAlign w:val="bottom"/>
            <w:shd w:val="clear" w:color="auto" w:fill="CCECFF"/>
          </w:tcPr>
          <w:p>
            <w:pPr>
              <w:spacing w:after="0"/>
              <w:rPr>
                <w:sz w:val="18"/>
                <w:szCs w:val="18"/>
                <w:color w:val="auto"/>
              </w:rPr>
            </w:pPr>
          </w:p>
        </w:tc>
        <w:tc>
          <w:tcPr>
            <w:tcW w:w="740" w:type="dxa"/>
            <w:vAlign w:val="bottom"/>
            <w:shd w:val="clear" w:color="auto" w:fill="CCECFF"/>
          </w:tcPr>
          <w:p>
            <w:pPr>
              <w:spacing w:after="0"/>
              <w:rPr>
                <w:sz w:val="18"/>
                <w:szCs w:val="18"/>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98"/>
              </w:rPr>
              <w:t>120.4</w:t>
            </w:r>
          </w:p>
        </w:tc>
        <w:tc>
          <w:tcPr>
            <w:tcW w:w="1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18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Transition service agreement income</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4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74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740" w:type="dxa"/>
            <w:vAlign w:val="bottom"/>
            <w:shd w:val="clear" w:color="auto" w:fill="CCECFF"/>
          </w:tcPr>
          <w:p>
            <w:pPr>
              <w:spacing w:after="0"/>
              <w:rPr>
                <w:sz w:val="18"/>
                <w:szCs w:val="18"/>
                <w:color w:val="auto"/>
              </w:rPr>
            </w:pPr>
          </w:p>
        </w:tc>
        <w:tc>
          <w:tcPr>
            <w:tcW w:w="42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68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320" w:type="dxa"/>
            <w:vAlign w:val="bottom"/>
            <w:shd w:val="clear" w:color="auto" w:fill="CCECFF"/>
          </w:tcPr>
          <w:p>
            <w:pPr>
              <w:spacing w:after="0"/>
              <w:rPr>
                <w:sz w:val="18"/>
                <w:szCs w:val="18"/>
                <w:color w:val="auto"/>
              </w:rPr>
            </w:pPr>
          </w:p>
        </w:tc>
        <w:tc>
          <w:tcPr>
            <w:tcW w:w="740" w:type="dxa"/>
            <w:vAlign w:val="bottom"/>
            <w:shd w:val="clear" w:color="auto" w:fill="CCECFF"/>
          </w:tcPr>
          <w:p>
            <w:pPr>
              <w:spacing w:after="0"/>
              <w:rPr>
                <w:sz w:val="18"/>
                <w:szCs w:val="18"/>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8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Restructuring costs, net</w:t>
            </w:r>
          </w:p>
        </w:tc>
        <w:tc>
          <w:tcPr>
            <w:tcW w:w="44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shd w:val="clear" w:color="auto" w:fill="CCECFF"/>
          </w:tcPr>
          <w:p>
            <w:pPr>
              <w:spacing w:after="0"/>
              <w:rPr>
                <w:sz w:val="18"/>
                <w:szCs w:val="18"/>
                <w:color w:val="auto"/>
              </w:rPr>
            </w:pPr>
          </w:p>
        </w:tc>
        <w:tc>
          <w:tcPr>
            <w:tcW w:w="740" w:type="dxa"/>
            <w:vAlign w:val="bottom"/>
            <w:shd w:val="clear" w:color="auto" w:fill="CCECFF"/>
          </w:tcPr>
          <w:p>
            <w:pPr>
              <w:spacing w:after="0"/>
              <w:rPr>
                <w:sz w:val="18"/>
                <w:szCs w:val="18"/>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8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60" w:type="dxa"/>
            <w:vAlign w:val="bottom"/>
            <w:tcBorders>
              <w:bottom w:val="single" w:sz="8" w:color="CCECFF"/>
            </w:tcBorders>
            <w:shd w:val="clear" w:color="auto" w:fill="CCEC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tcBorders>
              <w:bottom w:val="single" w:sz="8" w:color="CCECFF"/>
            </w:tcBorders>
            <w:shd w:val="clear" w:color="auto" w:fill="CCECFF"/>
          </w:tcPr>
          <w:p>
            <w:pPr>
              <w:spacing w:after="0"/>
              <w:rPr>
                <w:sz w:val="18"/>
                <w:szCs w:val="18"/>
                <w:color w:val="auto"/>
              </w:rPr>
            </w:pPr>
          </w:p>
        </w:tc>
        <w:tc>
          <w:tcPr>
            <w:tcW w:w="200" w:type="dxa"/>
            <w:vAlign w:val="bottom"/>
            <w:tcBorders>
              <w:top w:val="single" w:sz="8" w:color="auto"/>
              <w:bottom w:val="single" w:sz="8" w:color="auto"/>
            </w:tcBorders>
            <w:shd w:val="clear" w:color="auto" w:fill="CCECFF"/>
          </w:tcPr>
          <w:p>
            <w:pPr>
              <w:spacing w:after="0"/>
              <w:rPr>
                <w:sz w:val="18"/>
                <w:szCs w:val="18"/>
                <w:color w:val="auto"/>
              </w:rPr>
            </w:pPr>
          </w:p>
        </w:tc>
        <w:tc>
          <w:tcPr>
            <w:tcW w:w="7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320" w:type="dxa"/>
            <w:vAlign w:val="bottom"/>
            <w:tcBorders>
              <w:bottom w:val="single" w:sz="8" w:color="CCECFF"/>
            </w:tcBorders>
            <w:shd w:val="clear" w:color="auto" w:fill="CCECFF"/>
          </w:tcPr>
          <w:p>
            <w:pPr>
              <w:spacing w:after="0"/>
              <w:rPr>
                <w:sz w:val="18"/>
                <w:szCs w:val="18"/>
                <w:color w:val="auto"/>
              </w:rPr>
            </w:pPr>
          </w:p>
        </w:tc>
        <w:tc>
          <w:tcPr>
            <w:tcW w:w="740" w:type="dxa"/>
            <w:vAlign w:val="bottom"/>
            <w:tcBorders>
              <w:top w:val="single" w:sz="8" w:color="auto"/>
              <w:bottom w:val="single" w:sz="8" w:color="auto"/>
            </w:tcBorders>
            <w:shd w:val="clear" w:color="auto" w:fill="CCECFF"/>
          </w:tcPr>
          <w:p>
            <w:pPr>
              <w:spacing w:after="0"/>
              <w:rPr>
                <w:sz w:val="18"/>
                <w:szCs w:val="18"/>
                <w:color w:val="auto"/>
              </w:rPr>
            </w:pPr>
          </w:p>
        </w:tc>
        <w:tc>
          <w:tcPr>
            <w:tcW w:w="4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98"/>
              </w:rPr>
              <w:t>140.5</w:t>
            </w:r>
          </w:p>
        </w:tc>
        <w:tc>
          <w:tcPr>
            <w:tcW w:w="18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CCECFF"/>
            </w:tcBorders>
            <w:shd w:val="clear" w:color="auto" w:fill="CCECFF"/>
          </w:tcPr>
          <w:p>
            <w:pPr>
              <w:spacing w:after="0"/>
              <w:rPr>
                <w:sz w:val="18"/>
                <w:szCs w:val="18"/>
                <w:color w:val="auto"/>
              </w:rPr>
            </w:pPr>
          </w:p>
        </w:tc>
        <w:tc>
          <w:tcPr>
            <w:tcW w:w="200" w:type="dxa"/>
            <w:vAlign w:val="bottom"/>
            <w:tcBorders>
              <w:top w:val="single" w:sz="8" w:color="auto"/>
              <w:bottom w:val="single" w:sz="8" w:color="auto"/>
            </w:tcBorders>
            <w:shd w:val="clear" w:color="auto" w:fill="CCECFF"/>
          </w:tcPr>
          <w:p>
            <w:pPr>
              <w:spacing w:after="0"/>
              <w:rPr>
                <w:sz w:val="18"/>
                <w:szCs w:val="18"/>
                <w:color w:val="auto"/>
              </w:rPr>
            </w:pPr>
          </w:p>
        </w:tc>
        <w:tc>
          <w:tcPr>
            <w:tcW w:w="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18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top w:val="single" w:sz="8" w:color="auto"/>
              <w:bottom w:val="single" w:sz="8" w:color="auto"/>
            </w:tcBorders>
            <w:shd w:val="clear" w:color="auto" w:fill="CCECFF"/>
          </w:tcPr>
          <w:p>
            <w:pPr>
              <w:spacing w:after="0"/>
              <w:rPr>
                <w:sz w:val="18"/>
                <w:szCs w:val="18"/>
                <w:color w:val="auto"/>
              </w:rPr>
            </w:pPr>
          </w:p>
        </w:tc>
        <w:tc>
          <w:tcPr>
            <w:tcW w:w="9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16"/>
        </w:trPr>
        <w:tc>
          <w:tcPr>
            <w:tcW w:w="56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44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0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8"/>
                <w:szCs w:val="18"/>
                <w:color w:val="auto"/>
              </w:rPr>
              <w:t>(0.2)</w:t>
            </w:r>
          </w:p>
        </w:tc>
        <w:tc>
          <w:tcPr>
            <w:tcW w:w="740" w:type="dxa"/>
            <w:vAlign w:val="bottom"/>
            <w:shd w:val="clear" w:color="auto" w:fill="CCECFF"/>
          </w:tcPr>
          <w:p>
            <w:pPr>
              <w:spacing w:after="0"/>
              <w:rPr>
                <w:sz w:val="18"/>
                <w:szCs w:val="18"/>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0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(0.9)</w:t>
            </w:r>
          </w:p>
        </w:tc>
        <w:tc>
          <w:tcPr>
            <w:tcW w:w="7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440" w:type="dxa"/>
            <w:vAlign w:val="bottom"/>
            <w:tcBorders>
              <w:bottom w:val="single" w:sz="8" w:color="CCECFF"/>
            </w:tcBorders>
            <w:shd w:val="clear" w:color="auto" w:fill="CCECFF"/>
          </w:tcPr>
          <w:p>
            <w:pPr>
              <w:spacing w:after="0"/>
              <w:rPr>
                <w:sz w:val="18"/>
                <w:szCs w:val="18"/>
                <w:color w:val="auto"/>
              </w:rPr>
            </w:pPr>
          </w:p>
        </w:tc>
        <w:tc>
          <w:tcPr>
            <w:tcW w:w="200" w:type="dxa"/>
            <w:vAlign w:val="bottom"/>
            <w:tcBorders>
              <w:bottom w:val="single" w:sz="8" w:color="auto"/>
            </w:tcBorders>
            <w:shd w:val="clear" w:color="auto" w:fill="CCECFF"/>
          </w:tcPr>
          <w:p>
            <w:pPr>
              <w:spacing w:after="0"/>
              <w:rPr>
                <w:sz w:val="18"/>
                <w:szCs w:val="18"/>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320" w:type="dxa"/>
            <w:vAlign w:val="bottom"/>
            <w:tcBorders>
              <w:bottom w:val="single" w:sz="8" w:color="CCECFF"/>
            </w:tcBorders>
            <w:shd w:val="clear" w:color="auto" w:fill="CCECFF"/>
          </w:tcPr>
          <w:p>
            <w:pPr>
              <w:spacing w:after="0"/>
              <w:rPr>
                <w:sz w:val="18"/>
                <w:szCs w:val="18"/>
                <w:color w:val="auto"/>
              </w:rPr>
            </w:pPr>
          </w:p>
        </w:tc>
        <w:tc>
          <w:tcPr>
            <w:tcW w:w="740" w:type="dxa"/>
            <w:vAlign w:val="bottom"/>
            <w:tcBorders>
              <w:bottom w:val="single" w:sz="8" w:color="auto"/>
            </w:tcBorders>
            <w:shd w:val="clear" w:color="auto" w:fill="CCECFF"/>
          </w:tcPr>
          <w:p>
            <w:pPr>
              <w:spacing w:after="0"/>
              <w:rPr>
                <w:sz w:val="18"/>
                <w:szCs w:val="18"/>
                <w:color w:val="auto"/>
              </w:rPr>
            </w:pPr>
          </w:p>
        </w:tc>
        <w:tc>
          <w:tcPr>
            <w:tcW w:w="4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CCECFF"/>
            </w:tcBorders>
            <w:shd w:val="clear" w:color="auto" w:fill="CCECFF"/>
          </w:tcPr>
          <w:p>
            <w:pPr>
              <w:spacing w:after="0"/>
              <w:rPr>
                <w:sz w:val="18"/>
                <w:szCs w:val="18"/>
                <w:color w:val="auto"/>
              </w:rPr>
            </w:pPr>
          </w:p>
        </w:tc>
        <w:tc>
          <w:tcPr>
            <w:tcW w:w="200" w:type="dxa"/>
            <w:vAlign w:val="bottom"/>
            <w:tcBorders>
              <w:bottom w:val="single" w:sz="8" w:color="auto"/>
            </w:tcBorders>
            <w:shd w:val="clear" w:color="auto" w:fill="CCECFF"/>
          </w:tcPr>
          <w:p>
            <w:pPr>
              <w:spacing w:after="0"/>
              <w:rPr>
                <w:sz w:val="18"/>
                <w:szCs w:val="18"/>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8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spacing w:after="0"/>
              <w:rPr>
                <w:sz w:val="18"/>
                <w:szCs w:val="18"/>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6"/>
        </w:trPr>
        <w:tc>
          <w:tcPr>
            <w:tcW w:w="56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4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20" w:type="dxa"/>
            <w:vAlign w:val="bottom"/>
            <w:shd w:val="clear" w:color="auto" w:fill="CCECFF"/>
          </w:tcPr>
          <w:p>
            <w:pPr>
              <w:spacing w:after="0"/>
              <w:rPr>
                <w:sz w:val="18"/>
                <w:szCs w:val="18"/>
                <w:color w:val="auto"/>
              </w:rPr>
            </w:pPr>
          </w:p>
        </w:tc>
        <w:tc>
          <w:tcPr>
            <w:tcW w:w="740" w:type="dxa"/>
            <w:vAlign w:val="bottom"/>
            <w:shd w:val="clear" w:color="auto" w:fill="CCECFF"/>
          </w:tcPr>
          <w:p>
            <w:pPr>
              <w:spacing w:after="0"/>
              <w:rPr>
                <w:sz w:val="18"/>
                <w:szCs w:val="18"/>
                <w:color w:val="auto"/>
              </w:rPr>
            </w:pPr>
          </w:p>
        </w:tc>
        <w:tc>
          <w:tcPr>
            <w:tcW w:w="6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8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shd w:val="clear" w:color="auto" w:fill="CCECFF"/>
          </w:tcPr>
          <w:p>
            <w:pPr>
              <w:spacing w:after="0" w:line="20" w:lineRule="exact"/>
              <w:rPr>
                <w:sz w:val="1"/>
                <w:szCs w:val="1"/>
                <w:color w:val="auto"/>
              </w:rPr>
            </w:pPr>
          </w:p>
        </w:tc>
        <w:tc>
          <w:tcPr>
            <w:tcW w:w="440" w:type="dxa"/>
            <w:vAlign w:val="bottom"/>
            <w:shd w:val="clear" w:color="auto" w:fill="CCEC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CCEC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60" w:type="dxa"/>
            <w:vAlign w:val="bottom"/>
            <w:shd w:val="clear" w:color="auto" w:fill="CCECFF"/>
          </w:tcPr>
          <w:p>
            <w:pPr>
              <w:spacing w:after="0" w:line="198" w:lineRule="exact"/>
              <w:rPr>
                <w:sz w:val="20"/>
                <w:szCs w:val="20"/>
                <w:color w:val="auto"/>
              </w:rPr>
            </w:pPr>
            <w:r>
              <w:rPr>
                <w:rFonts w:ascii="Times New Roman" w:cs="Times New Roman" w:eastAsia="Times New Roman" w:hAnsi="Times New Roman"/>
                <w:sz w:val="18"/>
                <w:szCs w:val="18"/>
                <w:color w:val="auto"/>
              </w:rPr>
              <w:t>Income from discontinued operations, net of income tax expense</w:t>
            </w:r>
          </w:p>
        </w:tc>
        <w:tc>
          <w:tcPr>
            <w:tcW w:w="44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7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975.9</w:t>
            </w:r>
          </w:p>
        </w:tc>
        <w:tc>
          <w:tcPr>
            <w:tcW w:w="320" w:type="dxa"/>
            <w:vAlign w:val="bottom"/>
            <w:shd w:val="clear" w:color="auto" w:fill="CCECFF"/>
          </w:tcPr>
          <w:p>
            <w:pPr>
              <w:spacing w:after="0"/>
              <w:rPr>
                <w:sz w:val="17"/>
                <w:szCs w:val="17"/>
                <w:color w:val="auto"/>
              </w:rPr>
            </w:pPr>
          </w:p>
        </w:tc>
        <w:tc>
          <w:tcPr>
            <w:tcW w:w="740" w:type="dxa"/>
            <w:vAlign w:val="bottom"/>
            <w:shd w:val="clear" w:color="auto" w:fill="CCECFF"/>
          </w:tcPr>
          <w:p>
            <w:pPr>
              <w:spacing w:after="0"/>
              <w:rPr>
                <w:sz w:val="17"/>
                <w:szCs w:val="17"/>
                <w:color w:val="auto"/>
              </w:rPr>
            </w:pPr>
          </w:p>
        </w:tc>
        <w:tc>
          <w:tcPr>
            <w:tcW w:w="4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98"/>
              </w:rPr>
              <w:t>127.3</w:t>
            </w:r>
          </w:p>
        </w:tc>
        <w:tc>
          <w:tcPr>
            <w:tcW w:w="18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6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6,736.3</w:t>
            </w:r>
          </w:p>
        </w:tc>
        <w:tc>
          <w:tcPr>
            <w:tcW w:w="18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9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604.7</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660" w:type="dxa"/>
            <w:vAlign w:val="bottom"/>
            <w:tcBorders>
              <w:bottom w:val="single" w:sz="8" w:color="CCECFF"/>
            </w:tcBorders>
            <w:shd w:val="clear" w:color="auto" w:fill="CCECFF"/>
          </w:tcPr>
          <w:p>
            <w:pPr>
              <w:ind w:left="140"/>
              <w:spacing w:after="0"/>
              <w:rPr>
                <w:sz w:val="20"/>
                <w:szCs w:val="20"/>
                <w:color w:val="auto"/>
              </w:rPr>
            </w:pPr>
            <w:r>
              <w:rPr>
                <w:rFonts w:ascii="Times New Roman" w:cs="Times New Roman" w:eastAsia="Times New Roman" w:hAnsi="Times New Roman"/>
                <w:sz w:val="18"/>
                <w:szCs w:val="18"/>
                <w:color w:val="auto"/>
              </w:rPr>
              <w:t>of $300.9, $27.9, $1,474.7 and $478.1, respectively</w:t>
            </w:r>
          </w:p>
        </w:tc>
        <w:tc>
          <w:tcPr>
            <w:tcW w:w="440" w:type="dxa"/>
            <w:vAlign w:val="bottom"/>
            <w:tcBorders>
              <w:bottom w:val="single" w:sz="8" w:color="CCECFF"/>
            </w:tcBorders>
            <w:shd w:val="clear" w:color="auto" w:fill="CCECFF"/>
          </w:tcPr>
          <w:p>
            <w:pPr>
              <w:spacing w:after="0"/>
              <w:rPr>
                <w:sz w:val="19"/>
                <w:szCs w:val="19"/>
                <w:color w:val="auto"/>
              </w:rPr>
            </w:pPr>
          </w:p>
        </w:tc>
        <w:tc>
          <w:tcPr>
            <w:tcW w:w="200" w:type="dxa"/>
            <w:vAlign w:val="bottom"/>
            <w:tcBorders>
              <w:bottom w:val="single" w:sz="8" w:color="auto"/>
            </w:tcBorders>
            <w:shd w:val="clear" w:color="auto" w:fill="CCECFF"/>
          </w:tcPr>
          <w:p>
            <w:pPr>
              <w:spacing w:after="0"/>
              <w:rPr>
                <w:sz w:val="19"/>
                <w:szCs w:val="19"/>
                <w:color w:val="auto"/>
              </w:rPr>
            </w:pPr>
          </w:p>
        </w:tc>
        <w:tc>
          <w:tcPr>
            <w:tcW w:w="740" w:type="dxa"/>
            <w:vAlign w:val="bottom"/>
            <w:tcBorders>
              <w:bottom w:val="single" w:sz="8" w:color="auto"/>
            </w:tcBorders>
            <w:vMerge w:val="continue"/>
            <w:shd w:val="clear" w:color="auto" w:fill="CCECFF"/>
          </w:tcPr>
          <w:p>
            <w:pPr>
              <w:spacing w:after="0"/>
              <w:rPr>
                <w:sz w:val="19"/>
                <w:szCs w:val="19"/>
                <w:color w:val="auto"/>
              </w:rPr>
            </w:pPr>
          </w:p>
        </w:tc>
        <w:tc>
          <w:tcPr>
            <w:tcW w:w="320" w:type="dxa"/>
            <w:vAlign w:val="bottom"/>
            <w:tcBorders>
              <w:bottom w:val="single" w:sz="8" w:color="CCECFF"/>
            </w:tcBorders>
            <w:shd w:val="clear" w:color="auto" w:fill="CCECFF"/>
          </w:tcPr>
          <w:p>
            <w:pPr>
              <w:spacing w:after="0"/>
              <w:rPr>
                <w:sz w:val="19"/>
                <w:szCs w:val="19"/>
                <w:color w:val="auto"/>
              </w:rPr>
            </w:pPr>
          </w:p>
        </w:tc>
        <w:tc>
          <w:tcPr>
            <w:tcW w:w="740" w:type="dxa"/>
            <w:vAlign w:val="bottom"/>
            <w:tcBorders>
              <w:bottom w:val="single" w:sz="8" w:color="auto"/>
            </w:tcBorders>
            <w:shd w:val="clear" w:color="auto" w:fill="CCECFF"/>
          </w:tcPr>
          <w:p>
            <w:pPr>
              <w:spacing w:after="0"/>
              <w:rPr>
                <w:sz w:val="19"/>
                <w:szCs w:val="19"/>
                <w:color w:val="auto"/>
              </w:rPr>
            </w:pPr>
          </w:p>
        </w:tc>
        <w:tc>
          <w:tcPr>
            <w:tcW w:w="420" w:type="dxa"/>
            <w:vAlign w:val="bottom"/>
            <w:tcBorders>
              <w:bottom w:val="single" w:sz="8" w:color="auto"/>
            </w:tcBorders>
            <w:vMerge w:val="continue"/>
            <w:shd w:val="clear" w:color="auto" w:fill="CCECFF"/>
          </w:tcPr>
          <w:p>
            <w:pPr>
              <w:spacing w:after="0"/>
              <w:rPr>
                <w:sz w:val="19"/>
                <w:szCs w:val="19"/>
                <w:color w:val="auto"/>
              </w:rPr>
            </w:pPr>
          </w:p>
        </w:tc>
        <w:tc>
          <w:tcPr>
            <w:tcW w:w="180" w:type="dxa"/>
            <w:vAlign w:val="bottom"/>
            <w:tcBorders>
              <w:bottom w:val="single" w:sz="8" w:color="CCECFF"/>
            </w:tcBorders>
            <w:shd w:val="clear" w:color="auto" w:fill="CCECFF"/>
          </w:tcPr>
          <w:p>
            <w:pPr>
              <w:spacing w:after="0"/>
              <w:rPr>
                <w:sz w:val="19"/>
                <w:szCs w:val="19"/>
                <w:color w:val="auto"/>
              </w:rPr>
            </w:pPr>
          </w:p>
        </w:tc>
        <w:tc>
          <w:tcPr>
            <w:tcW w:w="120" w:type="dxa"/>
            <w:vAlign w:val="bottom"/>
            <w:tcBorders>
              <w:bottom w:val="single" w:sz="8" w:color="CCECFF"/>
            </w:tcBorders>
            <w:shd w:val="clear" w:color="auto" w:fill="CCECFF"/>
          </w:tcPr>
          <w:p>
            <w:pPr>
              <w:spacing w:after="0"/>
              <w:rPr>
                <w:sz w:val="19"/>
                <w:szCs w:val="19"/>
                <w:color w:val="auto"/>
              </w:rPr>
            </w:pPr>
          </w:p>
        </w:tc>
        <w:tc>
          <w:tcPr>
            <w:tcW w:w="200" w:type="dxa"/>
            <w:vAlign w:val="bottom"/>
            <w:tcBorders>
              <w:bottom w:val="single" w:sz="8" w:color="auto"/>
            </w:tcBorders>
            <w:shd w:val="clear" w:color="auto" w:fill="CCECFF"/>
          </w:tcPr>
          <w:p>
            <w:pPr>
              <w:spacing w:after="0"/>
              <w:rPr>
                <w:sz w:val="19"/>
                <w:szCs w:val="19"/>
                <w:color w:val="auto"/>
              </w:rPr>
            </w:pPr>
          </w:p>
        </w:tc>
        <w:tc>
          <w:tcPr>
            <w:tcW w:w="680" w:type="dxa"/>
            <w:vAlign w:val="bottom"/>
            <w:tcBorders>
              <w:bottom w:val="single" w:sz="8" w:color="auto"/>
            </w:tcBorders>
            <w:vMerge w:val="continue"/>
            <w:shd w:val="clear" w:color="auto" w:fill="CCECFF"/>
          </w:tcPr>
          <w:p>
            <w:pPr>
              <w:spacing w:after="0"/>
              <w:rPr>
                <w:sz w:val="19"/>
                <w:szCs w:val="19"/>
                <w:color w:val="auto"/>
              </w:rPr>
            </w:pPr>
          </w:p>
        </w:tc>
        <w:tc>
          <w:tcPr>
            <w:tcW w:w="180" w:type="dxa"/>
            <w:vAlign w:val="bottom"/>
            <w:tcBorders>
              <w:bottom w:val="single" w:sz="8" w:color="CCECFF"/>
            </w:tcBorders>
            <w:shd w:val="clear" w:color="auto" w:fill="CCECFF"/>
          </w:tcPr>
          <w:p>
            <w:pPr>
              <w:spacing w:after="0"/>
              <w:rPr>
                <w:sz w:val="19"/>
                <w:szCs w:val="19"/>
                <w:color w:val="auto"/>
              </w:rPr>
            </w:pPr>
          </w:p>
        </w:tc>
        <w:tc>
          <w:tcPr>
            <w:tcW w:w="100" w:type="dxa"/>
            <w:vAlign w:val="bottom"/>
            <w:tcBorders>
              <w:bottom w:val="single" w:sz="8" w:color="CCECFF"/>
            </w:tcBorders>
            <w:shd w:val="clear" w:color="auto" w:fill="CCECFF"/>
          </w:tcPr>
          <w:p>
            <w:pPr>
              <w:spacing w:after="0"/>
              <w:rPr>
                <w:sz w:val="19"/>
                <w:szCs w:val="19"/>
                <w:color w:val="auto"/>
              </w:rPr>
            </w:pPr>
          </w:p>
        </w:tc>
        <w:tc>
          <w:tcPr>
            <w:tcW w:w="260" w:type="dxa"/>
            <w:vAlign w:val="bottom"/>
            <w:tcBorders>
              <w:bottom w:val="single" w:sz="8" w:color="auto"/>
            </w:tcBorders>
            <w:shd w:val="clear" w:color="auto" w:fill="CCECFF"/>
          </w:tcPr>
          <w:p>
            <w:pPr>
              <w:spacing w:after="0"/>
              <w:rPr>
                <w:sz w:val="19"/>
                <w:szCs w:val="19"/>
                <w:color w:val="auto"/>
              </w:rPr>
            </w:pPr>
          </w:p>
        </w:tc>
        <w:tc>
          <w:tcPr>
            <w:tcW w:w="900" w:type="dxa"/>
            <w:vAlign w:val="bottom"/>
            <w:tcBorders>
              <w:bottom w:val="single" w:sz="8" w:color="auto"/>
            </w:tcBorders>
            <w:vMerge w:val="continue"/>
            <w:shd w:val="clear" w:color="auto" w:fill="CCECFF"/>
          </w:tcPr>
          <w:p>
            <w:pPr>
              <w:spacing w:after="0"/>
              <w:rPr>
                <w:sz w:val="19"/>
                <w:szCs w:val="19"/>
                <w:color w:val="auto"/>
              </w:rPr>
            </w:pPr>
          </w:p>
        </w:tc>
        <w:tc>
          <w:tcPr>
            <w:tcW w:w="10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1,030.6</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Series A convertible preferred stock dividends</w:t>
            </w:r>
          </w:p>
        </w:tc>
        <w:tc>
          <w:tcPr>
            <w:tcW w:w="44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060" w:type="dxa"/>
            <w:vAlign w:val="bottom"/>
            <w:gridSpan w:val="2"/>
            <w:shd w:val="clear" w:color="auto" w:fill="CCEC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CFF"/>
          </w:tcPr>
          <w:p>
            <w:pPr>
              <w:spacing w:after="0"/>
              <w:rPr>
                <w:sz w:val="18"/>
                <w:szCs w:val="18"/>
                <w:color w:val="auto"/>
              </w:rPr>
            </w:pPr>
          </w:p>
        </w:tc>
        <w:tc>
          <w:tcPr>
            <w:tcW w:w="6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8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0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Deemed dividend on redemption of Series A convertible preferred stock</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6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1,030.7</w:t>
            </w:r>
          </w:p>
        </w:tc>
        <w:tc>
          <w:tcPr>
            <w:tcW w:w="320" w:type="dxa"/>
            <w:vAlign w:val="bottom"/>
            <w:shd w:val="clear" w:color="auto" w:fill="CCECFF"/>
          </w:tcPr>
          <w:p>
            <w:pPr>
              <w:spacing w:after="0"/>
              <w:rPr>
                <w:sz w:val="21"/>
                <w:szCs w:val="21"/>
                <w:color w:val="auto"/>
              </w:rPr>
            </w:pPr>
          </w:p>
        </w:tc>
        <w:tc>
          <w:tcPr>
            <w:tcW w:w="740" w:type="dxa"/>
            <w:vAlign w:val="bottom"/>
            <w:shd w:val="clear" w:color="auto" w:fill="CCECFF"/>
          </w:tcPr>
          <w:p>
            <w:pPr>
              <w:jc w:val="right"/>
              <w:ind w:right="577"/>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80" w:type="dxa"/>
            <w:vAlign w:val="bottom"/>
            <w:shd w:val="clear" w:color="auto" w:fill="CCECFF"/>
          </w:tcPr>
          <w:p>
            <w:pPr>
              <w:spacing w:after="0"/>
              <w:rPr>
                <w:sz w:val="21"/>
                <w:szCs w:val="21"/>
                <w:color w:val="auto"/>
              </w:rPr>
            </w:pPr>
          </w:p>
        </w:tc>
        <w:tc>
          <w:tcPr>
            <w:tcW w:w="3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6,820.2</w:t>
            </w:r>
          </w:p>
        </w:tc>
        <w:tc>
          <w:tcPr>
            <w:tcW w:w="180" w:type="dxa"/>
            <w:vAlign w:val="bottom"/>
            <w:shd w:val="clear" w:color="auto" w:fill="CCECFF"/>
          </w:tcPr>
          <w:p>
            <w:pPr>
              <w:spacing w:after="0"/>
              <w:rPr>
                <w:sz w:val="21"/>
                <w:szCs w:val="21"/>
                <w:color w:val="auto"/>
              </w:rPr>
            </w:pPr>
          </w:p>
        </w:tc>
        <w:tc>
          <w:tcPr>
            <w:tcW w:w="3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872.9</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660" w:type="dxa"/>
            <w:vAlign w:val="bottom"/>
            <w:tcBorders>
              <w:top w:val="single" w:sz="8" w:color="CCECFF"/>
            </w:tcBorders>
          </w:tcPr>
          <w:p>
            <w:pPr>
              <w:spacing w:after="0"/>
              <w:rPr>
                <w:sz w:val="17"/>
                <w:szCs w:val="17"/>
                <w:color w:val="auto"/>
              </w:rPr>
            </w:pPr>
          </w:p>
        </w:tc>
        <w:tc>
          <w:tcPr>
            <w:tcW w:w="440" w:type="dxa"/>
            <w:vAlign w:val="bottom"/>
            <w:tcBorders>
              <w:top w:val="single" w:sz="8" w:color="CCEC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20" w:type="dxa"/>
            <w:vAlign w:val="bottom"/>
            <w:tcBorders>
              <w:top w:val="single" w:sz="8" w:color="CCECFF"/>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80" w:type="dxa"/>
            <w:vAlign w:val="bottom"/>
            <w:tcBorders>
              <w:top w:val="single" w:sz="8" w:color="CCECFF"/>
            </w:tcBorders>
          </w:tcPr>
          <w:p>
            <w:pPr>
              <w:spacing w:after="0"/>
              <w:rPr>
                <w:sz w:val="17"/>
                <w:szCs w:val="17"/>
                <w:color w:val="auto"/>
              </w:rPr>
            </w:pPr>
          </w:p>
        </w:tc>
        <w:tc>
          <w:tcPr>
            <w:tcW w:w="120" w:type="dxa"/>
            <w:vAlign w:val="bottom"/>
            <w:tcBorders>
              <w:top w:val="single" w:sz="8" w:color="CCEC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80" w:type="dxa"/>
            <w:vAlign w:val="bottom"/>
            <w:tcBorders>
              <w:top w:val="single" w:sz="8" w:color="CCECFF"/>
            </w:tcBorders>
          </w:tcPr>
          <w:p>
            <w:pPr>
              <w:spacing w:after="0"/>
              <w:rPr>
                <w:sz w:val="17"/>
                <w:szCs w:val="17"/>
                <w:color w:val="auto"/>
              </w:rPr>
            </w:pPr>
          </w:p>
        </w:tc>
        <w:tc>
          <w:tcPr>
            <w:tcW w:w="100" w:type="dxa"/>
            <w:vAlign w:val="bottom"/>
            <w:tcBorders>
              <w:top w:val="single" w:sz="8" w:color="CCEC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Basic:</w:t>
            </w:r>
          </w:p>
        </w:tc>
        <w:tc>
          <w:tcPr>
            <w:tcW w:w="44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74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740" w:type="dxa"/>
            <w:vAlign w:val="bottom"/>
            <w:shd w:val="clear" w:color="auto" w:fill="CCECFF"/>
          </w:tcPr>
          <w:p>
            <w:pPr>
              <w:spacing w:after="0"/>
              <w:rPr>
                <w:sz w:val="18"/>
                <w:szCs w:val="18"/>
                <w:color w:val="auto"/>
              </w:rPr>
            </w:pPr>
          </w:p>
        </w:tc>
        <w:tc>
          <w:tcPr>
            <w:tcW w:w="42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68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from continuing operations per share</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320" w:type="dxa"/>
            <w:vAlign w:val="bottom"/>
          </w:tcPr>
          <w:p>
            <w:pPr>
              <w:spacing w:after="0"/>
              <w:rPr>
                <w:sz w:val="18"/>
                <w:szCs w:val="18"/>
                <w:color w:val="auto"/>
              </w:rPr>
            </w:pPr>
          </w:p>
        </w:tc>
        <w:tc>
          <w:tcPr>
            <w:tcW w:w="740" w:type="dxa"/>
            <w:vAlign w:val="bottom"/>
          </w:tcPr>
          <w:p>
            <w:pPr>
              <w:jc w:val="right"/>
              <w:ind w:right="577"/>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(0.16)</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8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Earnings from discontinued operations per share</w:t>
            </w:r>
          </w:p>
        </w:tc>
        <w:tc>
          <w:tcPr>
            <w:tcW w:w="440" w:type="dxa"/>
            <w:vAlign w:val="bottom"/>
            <w:tcBorders>
              <w:bottom w:val="single" w:sz="8" w:color="CCECFF"/>
            </w:tcBorders>
            <w:shd w:val="clear" w:color="auto" w:fill="CCECFF"/>
          </w:tcPr>
          <w:p>
            <w:pPr>
              <w:spacing w:after="0"/>
              <w:rPr>
                <w:sz w:val="18"/>
                <w:szCs w:val="18"/>
                <w:color w:val="auto"/>
              </w:rPr>
            </w:pPr>
          </w:p>
        </w:tc>
        <w:tc>
          <w:tcPr>
            <w:tcW w:w="200" w:type="dxa"/>
            <w:vAlign w:val="bottom"/>
            <w:tcBorders>
              <w:bottom w:val="single" w:sz="8" w:color="auto"/>
            </w:tcBorders>
            <w:shd w:val="clear" w:color="auto" w:fill="CCECFF"/>
          </w:tcPr>
          <w:p>
            <w:pPr>
              <w:spacing w:after="0"/>
              <w:rPr>
                <w:sz w:val="18"/>
                <w:szCs w:val="18"/>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320" w:type="dxa"/>
            <w:vAlign w:val="bottom"/>
            <w:tcBorders>
              <w:bottom w:val="single" w:sz="8" w:color="CCECFF"/>
            </w:tcBorders>
            <w:shd w:val="clear" w:color="auto" w:fill="CCECFF"/>
          </w:tcPr>
          <w:p>
            <w:pPr>
              <w:spacing w:after="0"/>
              <w:rPr>
                <w:sz w:val="18"/>
                <w:szCs w:val="18"/>
                <w:color w:val="auto"/>
              </w:rPr>
            </w:pPr>
          </w:p>
        </w:tc>
        <w:tc>
          <w:tcPr>
            <w:tcW w:w="740" w:type="dxa"/>
            <w:vAlign w:val="bottom"/>
            <w:tcBorders>
              <w:bottom w:val="single" w:sz="8" w:color="auto"/>
            </w:tcBorders>
            <w:shd w:val="clear" w:color="auto" w:fill="CCECFF"/>
          </w:tcPr>
          <w:p>
            <w:pPr>
              <w:spacing w:after="0"/>
              <w:rPr>
                <w:sz w:val="18"/>
                <w:szCs w:val="18"/>
                <w:color w:val="auto"/>
              </w:rPr>
            </w:pPr>
          </w:p>
        </w:tc>
        <w:tc>
          <w:tcPr>
            <w:tcW w:w="4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8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CCECFF"/>
            </w:tcBorders>
            <w:shd w:val="clear" w:color="auto" w:fill="CCECFF"/>
          </w:tcPr>
          <w:p>
            <w:pPr>
              <w:spacing w:after="0"/>
              <w:rPr>
                <w:sz w:val="18"/>
                <w:szCs w:val="18"/>
                <w:color w:val="auto"/>
              </w:rPr>
            </w:pPr>
          </w:p>
        </w:tc>
        <w:tc>
          <w:tcPr>
            <w:tcW w:w="200" w:type="dxa"/>
            <w:vAlign w:val="bottom"/>
            <w:tcBorders>
              <w:bottom w:val="single" w:sz="8" w:color="auto"/>
            </w:tcBorders>
            <w:shd w:val="clear" w:color="auto" w:fill="CCECFF"/>
          </w:tcPr>
          <w:p>
            <w:pPr>
              <w:spacing w:after="0"/>
              <w:rPr>
                <w:sz w:val="18"/>
                <w:szCs w:val="18"/>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18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spacing w:after="0"/>
              <w:rPr>
                <w:sz w:val="18"/>
                <w:szCs w:val="18"/>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320" w:type="dxa"/>
            <w:vAlign w:val="bottom"/>
          </w:tcPr>
          <w:p>
            <w:pPr>
              <w:spacing w:after="0"/>
              <w:rPr>
                <w:sz w:val="18"/>
                <w:szCs w:val="18"/>
                <w:color w:val="auto"/>
              </w:rPr>
            </w:pPr>
          </w:p>
        </w:tc>
        <w:tc>
          <w:tcPr>
            <w:tcW w:w="740" w:type="dxa"/>
            <w:vAlign w:val="bottom"/>
          </w:tcPr>
          <w:p>
            <w:pPr>
              <w:jc w:val="right"/>
              <w:ind w:right="577"/>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8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18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60" w:type="dxa"/>
            <w:vAlign w:val="bottom"/>
            <w:shd w:val="clear" w:color="auto" w:fill="CCECFF"/>
          </w:tcPr>
          <w:p>
            <w:pPr>
              <w:spacing w:after="0"/>
              <w:rPr>
                <w:sz w:val="17"/>
                <w:szCs w:val="17"/>
                <w:color w:val="auto"/>
              </w:rPr>
            </w:pPr>
          </w:p>
        </w:tc>
        <w:tc>
          <w:tcPr>
            <w:tcW w:w="44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740" w:type="dxa"/>
            <w:vAlign w:val="bottom"/>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740" w:type="dxa"/>
            <w:vAlign w:val="bottom"/>
            <w:shd w:val="clear" w:color="auto" w:fill="CCECFF"/>
          </w:tcPr>
          <w:p>
            <w:pPr>
              <w:spacing w:after="0"/>
              <w:rPr>
                <w:sz w:val="17"/>
                <w:szCs w:val="17"/>
                <w:color w:val="auto"/>
              </w:rPr>
            </w:pPr>
          </w:p>
        </w:tc>
        <w:tc>
          <w:tcPr>
            <w:tcW w:w="420" w:type="dxa"/>
            <w:vAlign w:val="bottom"/>
            <w:shd w:val="clear" w:color="auto" w:fill="CCECFF"/>
          </w:tcPr>
          <w:p>
            <w:pPr>
              <w:spacing w:after="0"/>
              <w:rPr>
                <w:sz w:val="17"/>
                <w:szCs w:val="17"/>
                <w:color w:val="auto"/>
              </w:rPr>
            </w:pPr>
          </w:p>
        </w:tc>
        <w:tc>
          <w:tcPr>
            <w:tcW w:w="18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680" w:type="dxa"/>
            <w:vAlign w:val="bottom"/>
            <w:shd w:val="clear" w:color="auto" w:fill="CCECFF"/>
          </w:tcPr>
          <w:p>
            <w:pPr>
              <w:spacing w:after="0"/>
              <w:rPr>
                <w:sz w:val="17"/>
                <w:szCs w:val="17"/>
                <w:color w:val="auto"/>
              </w:rPr>
            </w:pPr>
          </w:p>
        </w:tc>
        <w:tc>
          <w:tcPr>
            <w:tcW w:w="18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90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Earnings (loss) from continuing operations per share</w:t>
            </w:r>
          </w:p>
        </w:tc>
        <w:tc>
          <w:tcPr>
            <w:tcW w:w="6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320" w:type="dxa"/>
            <w:vAlign w:val="bottom"/>
            <w:shd w:val="clear" w:color="auto" w:fill="CCECFF"/>
          </w:tcPr>
          <w:p>
            <w:pPr>
              <w:spacing w:after="0"/>
              <w:rPr>
                <w:sz w:val="18"/>
                <w:szCs w:val="18"/>
                <w:color w:val="auto"/>
              </w:rPr>
            </w:pPr>
          </w:p>
        </w:tc>
        <w:tc>
          <w:tcPr>
            <w:tcW w:w="740" w:type="dxa"/>
            <w:vAlign w:val="bottom"/>
            <w:shd w:val="clear" w:color="auto" w:fill="CCECFF"/>
          </w:tcPr>
          <w:p>
            <w:pPr>
              <w:jc w:val="right"/>
              <w:ind w:right="577"/>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(0.16)</w:t>
            </w:r>
          </w:p>
        </w:tc>
        <w:tc>
          <w:tcPr>
            <w:tcW w:w="3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80" w:type="dxa"/>
            <w:vAlign w:val="bottom"/>
            <w:shd w:val="clear" w:color="auto" w:fill="CCECFF"/>
          </w:tcPr>
          <w:p>
            <w:pPr>
              <w:spacing w:after="0"/>
              <w:rPr>
                <w:sz w:val="18"/>
                <w:szCs w:val="18"/>
                <w:color w:val="auto"/>
              </w:rPr>
            </w:pPr>
          </w:p>
        </w:tc>
        <w:tc>
          <w:tcPr>
            <w:tcW w:w="3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Earnings from discontinued operations per share</w:t>
            </w:r>
          </w:p>
        </w:tc>
        <w:tc>
          <w:tcPr>
            <w:tcW w:w="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3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6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6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320" w:type="dxa"/>
            <w:vAlign w:val="bottom"/>
            <w:shd w:val="clear" w:color="auto" w:fill="CCECFF"/>
          </w:tcPr>
          <w:p>
            <w:pPr>
              <w:spacing w:after="0"/>
              <w:rPr>
                <w:sz w:val="21"/>
                <w:szCs w:val="21"/>
                <w:color w:val="auto"/>
              </w:rPr>
            </w:pPr>
          </w:p>
        </w:tc>
        <w:tc>
          <w:tcPr>
            <w:tcW w:w="740" w:type="dxa"/>
            <w:vAlign w:val="bottom"/>
            <w:shd w:val="clear" w:color="auto" w:fill="CCECFF"/>
          </w:tcPr>
          <w:p>
            <w:pPr>
              <w:jc w:val="right"/>
              <w:ind w:right="577"/>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80" w:type="dxa"/>
            <w:vAlign w:val="bottom"/>
            <w:shd w:val="clear" w:color="auto" w:fill="CCECFF"/>
          </w:tcPr>
          <w:p>
            <w:pPr>
              <w:spacing w:after="0"/>
              <w:rPr>
                <w:sz w:val="21"/>
                <w:szCs w:val="21"/>
                <w:color w:val="auto"/>
              </w:rPr>
            </w:pPr>
          </w:p>
        </w:tc>
        <w:tc>
          <w:tcPr>
            <w:tcW w:w="3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180" w:type="dxa"/>
            <w:vAlign w:val="bottom"/>
            <w:shd w:val="clear" w:color="auto" w:fill="CCECFF"/>
          </w:tcPr>
          <w:p>
            <w:pPr>
              <w:spacing w:after="0"/>
              <w:rPr>
                <w:sz w:val="21"/>
                <w:szCs w:val="21"/>
                <w:color w:val="auto"/>
              </w:rPr>
            </w:pPr>
          </w:p>
        </w:tc>
        <w:tc>
          <w:tcPr>
            <w:tcW w:w="3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660" w:type="dxa"/>
            <w:vAlign w:val="bottom"/>
            <w:tcBorders>
              <w:top w:val="single" w:sz="8" w:color="CCECFF"/>
            </w:tcBorders>
          </w:tcPr>
          <w:p>
            <w:pPr>
              <w:spacing w:after="0"/>
              <w:rPr>
                <w:sz w:val="17"/>
                <w:szCs w:val="17"/>
                <w:color w:val="auto"/>
              </w:rPr>
            </w:pPr>
          </w:p>
        </w:tc>
        <w:tc>
          <w:tcPr>
            <w:tcW w:w="440" w:type="dxa"/>
            <w:vAlign w:val="bottom"/>
            <w:tcBorders>
              <w:top w:val="single" w:sz="8" w:color="CCEC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20" w:type="dxa"/>
            <w:vAlign w:val="bottom"/>
            <w:tcBorders>
              <w:top w:val="single" w:sz="8" w:color="CCECFF"/>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80" w:type="dxa"/>
            <w:vAlign w:val="bottom"/>
            <w:tcBorders>
              <w:top w:val="single" w:sz="8" w:color="CCECFF"/>
            </w:tcBorders>
          </w:tcPr>
          <w:p>
            <w:pPr>
              <w:spacing w:after="0"/>
              <w:rPr>
                <w:sz w:val="17"/>
                <w:szCs w:val="17"/>
                <w:color w:val="auto"/>
              </w:rPr>
            </w:pPr>
          </w:p>
        </w:tc>
        <w:tc>
          <w:tcPr>
            <w:tcW w:w="120" w:type="dxa"/>
            <w:vAlign w:val="bottom"/>
            <w:tcBorders>
              <w:top w:val="single" w:sz="8" w:color="CCEC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80" w:type="dxa"/>
            <w:vAlign w:val="bottom"/>
            <w:tcBorders>
              <w:top w:val="single" w:sz="8" w:color="CCECFF"/>
            </w:tcBorders>
          </w:tcPr>
          <w:p>
            <w:pPr>
              <w:spacing w:after="0"/>
              <w:rPr>
                <w:sz w:val="17"/>
                <w:szCs w:val="17"/>
                <w:color w:val="auto"/>
              </w:rPr>
            </w:pPr>
          </w:p>
        </w:tc>
        <w:tc>
          <w:tcPr>
            <w:tcW w:w="100" w:type="dxa"/>
            <w:vAlign w:val="bottom"/>
            <w:tcBorders>
              <w:top w:val="single" w:sz="8" w:color="CCEC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44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74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740" w:type="dxa"/>
            <w:vAlign w:val="bottom"/>
            <w:shd w:val="clear" w:color="auto" w:fill="CCECFF"/>
          </w:tcPr>
          <w:p>
            <w:pPr>
              <w:spacing w:after="0"/>
              <w:rPr>
                <w:sz w:val="18"/>
                <w:szCs w:val="18"/>
                <w:color w:val="auto"/>
              </w:rPr>
            </w:pPr>
          </w:p>
        </w:tc>
        <w:tc>
          <w:tcPr>
            <w:tcW w:w="42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68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221.5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Diluted (a)</w:t>
            </w:r>
          </w:p>
        </w:tc>
        <w:tc>
          <w:tcPr>
            <w:tcW w:w="44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320" w:type="dxa"/>
            <w:vAlign w:val="bottom"/>
            <w:shd w:val="clear" w:color="auto" w:fill="CCECFF"/>
          </w:tcPr>
          <w:p>
            <w:pPr>
              <w:spacing w:after="0"/>
              <w:rPr>
                <w:sz w:val="18"/>
                <w:szCs w:val="18"/>
                <w:color w:val="auto"/>
              </w:rPr>
            </w:pPr>
          </w:p>
        </w:tc>
        <w:tc>
          <w:tcPr>
            <w:tcW w:w="740" w:type="dxa"/>
            <w:vAlign w:val="bottom"/>
            <w:shd w:val="clear" w:color="auto" w:fill="CCECFF"/>
          </w:tcPr>
          <w:p>
            <w:pPr>
              <w:spacing w:after="0"/>
              <w:rPr>
                <w:sz w:val="18"/>
                <w:szCs w:val="18"/>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98"/>
              </w:rPr>
              <w:t>221.5</w:t>
            </w:r>
          </w:p>
        </w:tc>
        <w:tc>
          <w:tcPr>
            <w:tcW w:w="1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8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(a) Calculation of diluted earnings per share:</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Net income attributable to common stockholders (basic and diluted)</w:t>
            </w:r>
          </w:p>
        </w:tc>
        <w:tc>
          <w:tcPr>
            <w:tcW w:w="6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1,030.7</w:t>
            </w:r>
          </w:p>
        </w:tc>
        <w:tc>
          <w:tcPr>
            <w:tcW w:w="320" w:type="dxa"/>
            <w:vAlign w:val="bottom"/>
            <w:shd w:val="clear" w:color="auto" w:fill="CCECFF"/>
          </w:tcPr>
          <w:p>
            <w:pPr>
              <w:spacing w:after="0"/>
              <w:rPr>
                <w:sz w:val="18"/>
                <w:szCs w:val="18"/>
                <w:color w:val="auto"/>
              </w:rPr>
            </w:pPr>
          </w:p>
        </w:tc>
        <w:tc>
          <w:tcPr>
            <w:tcW w:w="740" w:type="dxa"/>
            <w:vAlign w:val="bottom"/>
            <w:shd w:val="clear" w:color="auto" w:fill="CCECFF"/>
          </w:tcPr>
          <w:p>
            <w:pPr>
              <w:jc w:val="right"/>
              <w:ind w:right="577"/>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80" w:type="dxa"/>
            <w:vAlign w:val="bottom"/>
            <w:shd w:val="clear" w:color="auto" w:fill="CCECFF"/>
          </w:tcPr>
          <w:p>
            <w:pPr>
              <w:spacing w:after="0"/>
              <w:rPr>
                <w:sz w:val="18"/>
                <w:szCs w:val="18"/>
                <w:color w:val="auto"/>
              </w:rPr>
            </w:pPr>
          </w:p>
        </w:tc>
        <w:tc>
          <w:tcPr>
            <w:tcW w:w="3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6,820.2</w:t>
            </w:r>
          </w:p>
        </w:tc>
        <w:tc>
          <w:tcPr>
            <w:tcW w:w="180" w:type="dxa"/>
            <w:vAlign w:val="bottom"/>
            <w:shd w:val="clear" w:color="auto" w:fill="CCECFF"/>
          </w:tcPr>
          <w:p>
            <w:pPr>
              <w:spacing w:after="0"/>
              <w:rPr>
                <w:sz w:val="18"/>
                <w:szCs w:val="18"/>
                <w:color w:val="auto"/>
              </w:rPr>
            </w:pPr>
          </w:p>
        </w:tc>
        <w:tc>
          <w:tcPr>
            <w:tcW w:w="3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872.9</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Weighted average shares (basic)</w:t>
            </w:r>
          </w:p>
        </w:tc>
        <w:tc>
          <w:tcPr>
            <w:tcW w:w="44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320" w:type="dxa"/>
            <w:vAlign w:val="bottom"/>
            <w:shd w:val="clear" w:color="auto" w:fill="CCECFF"/>
          </w:tcPr>
          <w:p>
            <w:pPr>
              <w:spacing w:after="0"/>
              <w:rPr>
                <w:sz w:val="18"/>
                <w:szCs w:val="18"/>
                <w:color w:val="auto"/>
              </w:rPr>
            </w:pPr>
          </w:p>
        </w:tc>
        <w:tc>
          <w:tcPr>
            <w:tcW w:w="740" w:type="dxa"/>
            <w:vAlign w:val="bottom"/>
            <w:shd w:val="clear" w:color="auto" w:fill="CCECFF"/>
          </w:tcPr>
          <w:p>
            <w:pPr>
              <w:spacing w:after="0"/>
              <w:rPr>
                <w:sz w:val="18"/>
                <w:szCs w:val="18"/>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98"/>
              </w:rPr>
              <w:t>221.5</w:t>
            </w:r>
          </w:p>
        </w:tc>
        <w:tc>
          <w:tcPr>
            <w:tcW w:w="1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18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Dilutive effect of equity-based awards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Dilutive effect of as-if converted Series A convertible preferred stock</w:t>
            </w:r>
          </w:p>
        </w:tc>
        <w:tc>
          <w:tcPr>
            <w:tcW w:w="44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060" w:type="dxa"/>
            <w:vAlign w:val="bottom"/>
            <w:gridSpan w:val="2"/>
            <w:shd w:val="clear" w:color="auto" w:fill="CCEC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CFF"/>
          </w:tcPr>
          <w:p>
            <w:pPr>
              <w:spacing w:after="0"/>
              <w:rPr>
                <w:sz w:val="18"/>
                <w:szCs w:val="18"/>
                <w:color w:val="auto"/>
              </w:rPr>
            </w:pPr>
          </w:p>
        </w:tc>
        <w:tc>
          <w:tcPr>
            <w:tcW w:w="60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86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60" w:type="dxa"/>
            <w:vAlign w:val="bottom"/>
            <w:tcBorders>
              <w:top w:val="single" w:sz="8" w:color="CCECFF"/>
            </w:tcBorders>
          </w:tcPr>
          <w:p>
            <w:pPr>
              <w:ind w:left="120"/>
              <w:spacing w:after="0"/>
              <w:rPr>
                <w:sz w:val="20"/>
                <w:szCs w:val="20"/>
                <w:color w:val="auto"/>
              </w:rPr>
            </w:pPr>
            <w:r>
              <w:rPr>
                <w:rFonts w:ascii="Times New Roman" w:cs="Times New Roman" w:eastAsia="Times New Roman" w:hAnsi="Times New Roman"/>
                <w:sz w:val="18"/>
                <w:szCs w:val="18"/>
                <w:color w:val="auto"/>
              </w:rPr>
              <w:t>Denominator (diluted)</w:t>
            </w:r>
          </w:p>
        </w:tc>
        <w:tc>
          <w:tcPr>
            <w:tcW w:w="440" w:type="dxa"/>
            <w:vAlign w:val="bottom"/>
            <w:tcBorders>
              <w:top w:val="single" w:sz="8" w:color="CCEC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320" w:type="dxa"/>
            <w:vAlign w:val="bottom"/>
            <w:tcBorders>
              <w:top w:val="single" w:sz="8" w:color="CCECFF"/>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221.5</w:t>
            </w:r>
          </w:p>
        </w:tc>
        <w:tc>
          <w:tcPr>
            <w:tcW w:w="180" w:type="dxa"/>
            <w:vAlign w:val="bottom"/>
            <w:tcBorders>
              <w:top w:val="single" w:sz="8" w:color="CCECFF"/>
            </w:tcBorders>
          </w:tcPr>
          <w:p>
            <w:pPr>
              <w:spacing w:after="0"/>
              <w:rPr>
                <w:sz w:val="18"/>
                <w:szCs w:val="18"/>
                <w:color w:val="auto"/>
              </w:rPr>
            </w:pPr>
          </w:p>
        </w:tc>
        <w:tc>
          <w:tcPr>
            <w:tcW w:w="120" w:type="dxa"/>
            <w:vAlign w:val="bottom"/>
            <w:tcBorders>
              <w:top w:val="single" w:sz="8" w:color="CCEC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80" w:type="dxa"/>
            <w:vAlign w:val="bottom"/>
            <w:tcBorders>
              <w:top w:val="single" w:sz="8" w:color="CCECFF"/>
            </w:tcBorders>
          </w:tcPr>
          <w:p>
            <w:pPr>
              <w:spacing w:after="0"/>
              <w:rPr>
                <w:sz w:val="18"/>
                <w:szCs w:val="18"/>
                <w:color w:val="auto"/>
              </w:rPr>
            </w:pPr>
          </w:p>
        </w:tc>
        <w:tc>
          <w:tcPr>
            <w:tcW w:w="100" w:type="dxa"/>
            <w:vAlign w:val="bottom"/>
            <w:tcBorders>
              <w:top w:val="single" w:sz="8" w:color="CCEC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00" w:type="dxa"/>
            <w:vAlign w:val="bottom"/>
            <w:tcBorders>
              <w:top w:val="single" w:sz="8" w:color="CCEC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-4825365</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-4825365</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-4825365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-4825365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-4268470</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-4268470</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-4268470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-4268470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-3985895</wp:posOffset>
            </wp:positionV>
            <wp:extent cx="774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-3985895</wp:posOffset>
            </wp:positionV>
            <wp:extent cx="774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-3985895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-3985895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-3573780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-3573780</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-3573780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-3573780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-3007995</wp:posOffset>
            </wp:positionV>
            <wp:extent cx="774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-2990850</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-3007995</wp:posOffset>
            </wp:positionV>
            <wp:extent cx="77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-2990850</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-3007995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-2990850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-3007995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-2433955</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-2433955</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-2433955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-2433955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-1567815</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-1550670</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-1567815</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-1550670</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-1567815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-1550670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-1550670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-170815</wp:posOffset>
            </wp:positionV>
            <wp:extent cx="77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-170815</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-170815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 included in our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827405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 millions, except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80" w:type="dxa"/>
            <w:vAlign w:val="bottom"/>
            <w:gridSpan w:val="2"/>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3"/>
                <w:szCs w:val="13"/>
                <w:color w:val="auto"/>
              </w:rPr>
            </w:pPr>
          </w:p>
        </w:tc>
        <w:tc>
          <w:tcPr>
            <w:tcW w:w="18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73"/>
        </w:trPr>
        <w:tc>
          <w:tcPr>
            <w:tcW w:w="60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2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CFF"/>
          </w:tcPr>
          <w:p>
            <w:pPr>
              <w:ind w:left="31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40" w:type="dxa"/>
            <w:vAlign w:val="bottom"/>
            <w:shd w:val="clear" w:color="auto" w:fill="CCECFF"/>
          </w:tcPr>
          <w:p>
            <w:pPr>
              <w:spacing w:after="0"/>
              <w:rPr>
                <w:sz w:val="18"/>
                <w:szCs w:val="18"/>
                <w:color w:val="auto"/>
              </w:rPr>
            </w:pPr>
          </w:p>
        </w:tc>
        <w:tc>
          <w:tcPr>
            <w:tcW w:w="220" w:type="dxa"/>
            <w:vAlign w:val="bottom"/>
            <w:tcBorders>
              <w:top w:val="single" w:sz="8" w:color="auto"/>
            </w:tcBorders>
            <w:shd w:val="clear" w:color="auto" w:fill="CCECFF"/>
          </w:tcPr>
          <w:p>
            <w:pPr>
              <w:spacing w:after="0"/>
              <w:rPr>
                <w:sz w:val="18"/>
                <w:szCs w:val="18"/>
                <w:color w:val="auto"/>
              </w:rPr>
            </w:pPr>
          </w:p>
        </w:tc>
        <w:tc>
          <w:tcPr>
            <w:tcW w:w="1680" w:type="dxa"/>
            <w:vAlign w:val="bottom"/>
            <w:tcBorders>
              <w:top w:val="single" w:sz="8" w:color="auto"/>
            </w:tcBorders>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220" w:type="dxa"/>
            <w:vAlign w:val="bottom"/>
            <w:tcBorders>
              <w:top w:val="single" w:sz="8" w:color="auto"/>
            </w:tcBorders>
            <w:shd w:val="clear" w:color="auto" w:fill="CCECFF"/>
          </w:tcPr>
          <w:p>
            <w:pPr>
              <w:spacing w:after="0"/>
              <w:rPr>
                <w:sz w:val="18"/>
                <w:szCs w:val="18"/>
                <w:color w:val="auto"/>
              </w:rPr>
            </w:pPr>
          </w:p>
        </w:tc>
        <w:tc>
          <w:tcPr>
            <w:tcW w:w="1680" w:type="dxa"/>
            <w:vAlign w:val="bottom"/>
            <w:tcBorders>
              <w:top w:val="single" w:sz="8" w:color="auto"/>
            </w:tcBorders>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683.1</w:t>
            </w:r>
          </w:p>
        </w:tc>
        <w:tc>
          <w:tcPr>
            <w:tcW w:w="30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080" w:type="dxa"/>
            <w:vAlign w:val="bottom"/>
            <w:shd w:val="clear" w:color="auto" w:fill="CCECFF"/>
          </w:tcPr>
          <w:p>
            <w:pPr>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w:t>
            </w:r>
          </w:p>
        </w:tc>
        <w:tc>
          <w:tcPr>
            <w:tcW w:w="94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680" w:type="dxa"/>
            <w:vAlign w:val="bottom"/>
            <w:shd w:val="clear" w:color="auto" w:fill="CCECFF"/>
          </w:tcPr>
          <w:p>
            <w:pPr>
              <w:spacing w:after="0"/>
              <w:rPr>
                <w:sz w:val="17"/>
                <w:szCs w:val="17"/>
                <w:color w:val="auto"/>
              </w:rPr>
            </w:pPr>
          </w:p>
        </w:tc>
        <w:tc>
          <w:tcPr>
            <w:tcW w:w="30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68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8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8"/>
                <w:szCs w:val="18"/>
                <w:color w:val="auto"/>
              </w:rPr>
              <w:t>of $0.5 and $1.2, respectively</w:t>
            </w:r>
          </w:p>
        </w:tc>
        <w:tc>
          <w:tcPr>
            <w:tcW w:w="94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30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12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4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3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940" w:type="dxa"/>
            <w:vAlign w:val="bottom"/>
            <w:shd w:val="clear" w:color="auto" w:fill="CCECFF"/>
          </w:tcPr>
          <w:p>
            <w:pPr>
              <w:spacing w:after="0"/>
              <w:rPr>
                <w:sz w:val="18"/>
                <w:szCs w:val="18"/>
                <w:color w:val="auto"/>
              </w:rPr>
            </w:pPr>
          </w:p>
        </w:tc>
        <w:tc>
          <w:tcPr>
            <w:tcW w:w="220" w:type="dxa"/>
            <w:vAlign w:val="bottom"/>
            <w:tcBorders>
              <w:top w:val="single" w:sz="8" w:color="auto"/>
            </w:tcBorders>
            <w:shd w:val="clear" w:color="auto" w:fill="CCECFF"/>
          </w:tcPr>
          <w:p>
            <w:pPr>
              <w:spacing w:after="0"/>
              <w:rPr>
                <w:sz w:val="18"/>
                <w:szCs w:val="18"/>
                <w:color w:val="auto"/>
              </w:rPr>
            </w:pPr>
          </w:p>
        </w:tc>
        <w:tc>
          <w:tcPr>
            <w:tcW w:w="16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1,420.5</w:t>
            </w:r>
          </w:p>
        </w:tc>
        <w:tc>
          <w:tcPr>
            <w:tcW w:w="300" w:type="dxa"/>
            <w:vAlign w:val="bottom"/>
            <w:shd w:val="clear" w:color="auto" w:fill="CCECFF"/>
          </w:tcPr>
          <w:p>
            <w:pPr>
              <w:spacing w:after="0"/>
              <w:rPr>
                <w:sz w:val="18"/>
                <w:szCs w:val="18"/>
                <w:color w:val="auto"/>
              </w:rPr>
            </w:pPr>
          </w:p>
        </w:tc>
        <w:tc>
          <w:tcPr>
            <w:tcW w:w="220" w:type="dxa"/>
            <w:vAlign w:val="bottom"/>
            <w:tcBorders>
              <w:top w:val="single" w:sz="8" w:color="auto"/>
            </w:tcBorders>
            <w:shd w:val="clear" w:color="auto" w:fill="CCECFF"/>
          </w:tcPr>
          <w:p>
            <w:pPr>
              <w:spacing w:after="0"/>
              <w:rPr>
                <w:sz w:val="18"/>
                <w:szCs w:val="18"/>
                <w:color w:val="auto"/>
              </w:rPr>
            </w:pPr>
          </w:p>
        </w:tc>
        <w:tc>
          <w:tcPr>
            <w:tcW w:w="16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5,796.2</w:t>
            </w: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Property, plant and equipment, net of accumulated depreciation</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$129.7 and $134.7, respectively</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Goodwill</w:t>
            </w:r>
          </w:p>
        </w:tc>
        <w:tc>
          <w:tcPr>
            <w:tcW w:w="94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3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94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3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1,722.3</w:t>
            </w: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Noncurrent assets held for sale</w:t>
            </w:r>
          </w:p>
        </w:tc>
        <w:tc>
          <w:tcPr>
            <w:tcW w:w="94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bottom w:val="single" w:sz="8" w:color="auto"/>
            </w:tcBorders>
            <w:shd w:val="clear" w:color="auto" w:fill="CCECFF"/>
          </w:tcPr>
          <w:p>
            <w:pPr>
              <w:spacing w:after="0"/>
              <w:rPr>
                <w:sz w:val="18"/>
                <w:szCs w:val="18"/>
                <w:color w:val="auto"/>
              </w:rPr>
            </w:pPr>
          </w:p>
        </w:tc>
        <w:tc>
          <w:tcPr>
            <w:tcW w:w="1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bottom w:val="single" w:sz="8" w:color="auto"/>
            </w:tcBorders>
            <w:shd w:val="clear" w:color="auto" w:fill="CCECFF"/>
          </w:tcPr>
          <w:p>
            <w:pPr>
              <w:spacing w:after="0"/>
              <w:rPr>
                <w:sz w:val="18"/>
                <w:szCs w:val="18"/>
                <w:color w:val="auto"/>
              </w:rPr>
            </w:pPr>
          </w:p>
        </w:tc>
        <w:tc>
          <w:tcPr>
            <w:tcW w:w="1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696.0</w:t>
            </w:r>
          </w:p>
        </w:tc>
        <w:tc>
          <w:tcPr>
            <w:tcW w:w="12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2,818.5</w:t>
            </w:r>
          </w:p>
        </w:tc>
        <w:tc>
          <w:tcPr>
            <w:tcW w:w="30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80" w:type="dxa"/>
            <w:vAlign w:val="bottom"/>
            <w:shd w:val="clear" w:color="auto" w:fill="CCECFF"/>
          </w:tcPr>
          <w:p>
            <w:pPr>
              <w:ind w:left="170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94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680" w:type="dxa"/>
            <w:vAlign w:val="bottom"/>
            <w:shd w:val="clear" w:color="auto" w:fill="CCECFF"/>
          </w:tcPr>
          <w:p>
            <w:pPr>
              <w:spacing w:after="0"/>
              <w:rPr>
                <w:sz w:val="17"/>
                <w:szCs w:val="17"/>
                <w:color w:val="auto"/>
              </w:rPr>
            </w:pPr>
          </w:p>
        </w:tc>
        <w:tc>
          <w:tcPr>
            <w:tcW w:w="30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68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30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94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3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 held for sale</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940" w:type="dxa"/>
            <w:vAlign w:val="bottom"/>
            <w:shd w:val="clear" w:color="auto" w:fill="CCECFF"/>
          </w:tcPr>
          <w:p>
            <w:pPr>
              <w:spacing w:after="0"/>
              <w:rPr>
                <w:sz w:val="18"/>
                <w:szCs w:val="18"/>
                <w:color w:val="auto"/>
              </w:rPr>
            </w:pPr>
          </w:p>
        </w:tc>
        <w:tc>
          <w:tcPr>
            <w:tcW w:w="220" w:type="dxa"/>
            <w:vAlign w:val="bottom"/>
            <w:tcBorders>
              <w:top w:val="single" w:sz="8" w:color="auto"/>
            </w:tcBorders>
            <w:shd w:val="clear" w:color="auto" w:fill="CCECFF"/>
          </w:tcPr>
          <w:p>
            <w:pPr>
              <w:spacing w:after="0"/>
              <w:rPr>
                <w:sz w:val="18"/>
                <w:szCs w:val="18"/>
                <w:color w:val="auto"/>
              </w:rPr>
            </w:pPr>
          </w:p>
        </w:tc>
        <w:tc>
          <w:tcPr>
            <w:tcW w:w="16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300" w:type="dxa"/>
            <w:vAlign w:val="bottom"/>
            <w:shd w:val="clear" w:color="auto" w:fill="CCECFF"/>
          </w:tcPr>
          <w:p>
            <w:pPr>
              <w:spacing w:after="0"/>
              <w:rPr>
                <w:sz w:val="18"/>
                <w:szCs w:val="18"/>
                <w:color w:val="auto"/>
              </w:rPr>
            </w:pPr>
          </w:p>
        </w:tc>
        <w:tc>
          <w:tcPr>
            <w:tcW w:w="220" w:type="dxa"/>
            <w:vAlign w:val="bottom"/>
            <w:tcBorders>
              <w:top w:val="single" w:sz="8" w:color="auto"/>
            </w:tcBorders>
            <w:shd w:val="clear" w:color="auto" w:fill="CCECFF"/>
          </w:tcPr>
          <w:p>
            <w:pPr>
              <w:spacing w:after="0"/>
              <w:rPr>
                <w:sz w:val="18"/>
                <w:szCs w:val="18"/>
                <w:color w:val="auto"/>
              </w:rPr>
            </w:pPr>
          </w:p>
        </w:tc>
        <w:tc>
          <w:tcPr>
            <w:tcW w:w="16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1,495.5</w:t>
            </w: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94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3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Noncurrent liabilities held for sale</w:t>
            </w:r>
          </w:p>
        </w:tc>
        <w:tc>
          <w:tcPr>
            <w:tcW w:w="94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980" w:type="dxa"/>
            <w:vAlign w:val="bottom"/>
            <w:gridSpan w:val="2"/>
            <w:shd w:val="clear" w:color="auto" w:fill="CCEC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CFF"/>
          </w:tcPr>
          <w:p>
            <w:pPr>
              <w:spacing w:after="0"/>
              <w:rPr>
                <w:sz w:val="18"/>
                <w:szCs w:val="18"/>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tcBorders>
              <w:top w:val="single" w:sz="8" w:color="CCECFF"/>
            </w:tcBorders>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940" w:type="dxa"/>
            <w:vAlign w:val="bottom"/>
            <w:tcBorders>
              <w:top w:val="single" w:sz="8" w:color="CCEC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584.9</w:t>
            </w:r>
          </w:p>
        </w:tc>
        <w:tc>
          <w:tcPr>
            <w:tcW w:w="300" w:type="dxa"/>
            <w:vAlign w:val="bottom"/>
            <w:tcBorders>
              <w:top w:val="single" w:sz="8" w:color="CCEC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9,096.4</w:t>
            </w:r>
          </w:p>
        </w:tc>
        <w:tc>
          <w:tcPr>
            <w:tcW w:w="120" w:type="dxa"/>
            <w:vAlign w:val="bottom"/>
            <w:tcBorders>
              <w:top w:val="single" w:sz="8" w:color="CCEC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94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68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6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Series A convertible preferred stock, $0.01 par value</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94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68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6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08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Preferred stock, $0.01 par value: Authorized shares: 200,000,000;</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Issued and outstanding shares: None and 1,278,653, respectively,</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Series A convertible preferred stock</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080" w:type="dxa"/>
            <w:vAlign w:val="bottom"/>
            <w:shd w:val="clear" w:color="auto" w:fill="CCECFF"/>
          </w:tcPr>
          <w:p>
            <w:pPr>
              <w:ind w:left="80"/>
              <w:spacing w:after="0" w:line="198" w:lineRule="exact"/>
              <w:rPr>
                <w:sz w:val="20"/>
                <w:szCs w:val="20"/>
                <w:color w:val="auto"/>
              </w:rPr>
            </w:pPr>
            <w:r>
              <w:rPr>
                <w:rFonts w:ascii="Times New Roman" w:cs="Times New Roman" w:eastAsia="Times New Roman" w:hAnsi="Times New Roman"/>
                <w:sz w:val="18"/>
                <w:szCs w:val="18"/>
                <w:color w:val="auto"/>
              </w:rPr>
              <w:t>Common stock, $0.01 par value: Authorized shares: 1,300,000,000;</w:t>
            </w:r>
          </w:p>
        </w:tc>
        <w:tc>
          <w:tcPr>
            <w:tcW w:w="94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680" w:type="dxa"/>
            <w:vAlign w:val="bottom"/>
            <w:shd w:val="clear" w:color="auto" w:fill="CCECFF"/>
          </w:tcPr>
          <w:p>
            <w:pPr>
              <w:spacing w:after="0"/>
              <w:rPr>
                <w:sz w:val="17"/>
                <w:szCs w:val="17"/>
                <w:color w:val="auto"/>
              </w:rPr>
            </w:pPr>
          </w:p>
        </w:tc>
        <w:tc>
          <w:tcPr>
            <w:tcW w:w="30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68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Issued and outstanding shares: 212,979,678 and 223,260,316,</w:t>
            </w:r>
          </w:p>
        </w:tc>
        <w:tc>
          <w:tcPr>
            <w:tcW w:w="94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68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6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94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94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3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8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(3,040.8)</w:t>
            </w:r>
          </w:p>
        </w:tc>
        <w:tc>
          <w:tcPr>
            <w:tcW w:w="0" w:type="dxa"/>
            <w:vAlign w:val="bottom"/>
          </w:tcPr>
          <w:p>
            <w:pPr>
              <w:spacing w:after="0"/>
              <w:rPr>
                <w:sz w:val="1"/>
                <w:szCs w:val="1"/>
                <w:color w:val="auto"/>
              </w:rPr>
            </w:pPr>
          </w:p>
        </w:tc>
      </w:tr>
      <w:tr>
        <w:trPr>
          <w:trHeight w:val="216"/>
        </w:trPr>
        <w:tc>
          <w:tcPr>
            <w:tcW w:w="6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(118.7)</w:t>
            </w:r>
          </w:p>
        </w:tc>
        <w:tc>
          <w:tcPr>
            <w:tcW w:w="0" w:type="dxa"/>
            <w:vAlign w:val="bottom"/>
          </w:tcPr>
          <w:p>
            <w:pPr>
              <w:spacing w:after="0"/>
              <w:rPr>
                <w:sz w:val="1"/>
                <w:szCs w:val="1"/>
                <w:color w:val="auto"/>
              </w:rPr>
            </w:pPr>
          </w:p>
        </w:tc>
      </w:tr>
      <w:tr>
        <w:trPr>
          <w:trHeight w:val="198"/>
        </w:trPr>
        <w:tc>
          <w:tcPr>
            <w:tcW w:w="6080" w:type="dxa"/>
            <w:vAlign w:val="bottom"/>
            <w:shd w:val="clear" w:color="auto" w:fill="CCECFF"/>
          </w:tcPr>
          <w:p>
            <w:pPr>
              <w:ind w:left="80"/>
              <w:spacing w:after="0" w:line="198" w:lineRule="exact"/>
              <w:rPr>
                <w:sz w:val="20"/>
                <w:szCs w:val="20"/>
                <w:color w:val="auto"/>
              </w:rPr>
            </w:pPr>
            <w:r>
              <w:rPr>
                <w:rFonts w:ascii="Times New Roman" w:cs="Times New Roman" w:eastAsia="Times New Roman" w:hAnsi="Times New Roman"/>
                <w:sz w:val="18"/>
                <w:szCs w:val="18"/>
                <w:color w:val="auto"/>
              </w:rPr>
              <w:t>Treasury stock, at cost: 39,678,750 shares and</w:t>
            </w:r>
          </w:p>
        </w:tc>
        <w:tc>
          <w:tcPr>
            <w:tcW w:w="94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680" w:type="dxa"/>
            <w:vAlign w:val="bottom"/>
            <w:shd w:val="clear" w:color="auto" w:fill="CCECFF"/>
          </w:tcPr>
          <w:p>
            <w:pPr>
              <w:spacing w:after="0"/>
              <w:rPr>
                <w:sz w:val="17"/>
                <w:szCs w:val="17"/>
                <w:color w:val="auto"/>
              </w:rPr>
            </w:pPr>
          </w:p>
        </w:tc>
        <w:tc>
          <w:tcPr>
            <w:tcW w:w="30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68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18,665,426 shares, respectively</w:t>
            </w:r>
          </w:p>
        </w:tc>
        <w:tc>
          <w:tcPr>
            <w:tcW w:w="94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198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(541.2)</w:t>
            </w:r>
          </w:p>
        </w:tc>
        <w:tc>
          <w:tcPr>
            <w:tcW w:w="220" w:type="dxa"/>
            <w:vAlign w:val="bottom"/>
            <w:shd w:val="clear" w:color="auto" w:fill="CCECFF"/>
          </w:tcPr>
          <w:p>
            <w:pPr>
              <w:spacing w:after="0"/>
              <w:rPr>
                <w:sz w:val="20"/>
                <w:szCs w:val="20"/>
                <w:color w:val="auto"/>
              </w:rPr>
            </w:pPr>
          </w:p>
        </w:tc>
        <w:tc>
          <w:tcPr>
            <w:tcW w:w="18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(334.9)</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(1,004.1)</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8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8"/>
                <w:szCs w:val="18"/>
                <w:color w:val="auto"/>
              </w:rPr>
              <w:t>Total liabilities and stockholders' equity (deficit)</w:t>
            </w:r>
          </w:p>
        </w:tc>
        <w:tc>
          <w:tcPr>
            <w:tcW w:w="11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2,818.5</w:t>
            </w:r>
          </w:p>
        </w:tc>
        <w:tc>
          <w:tcPr>
            <w:tcW w:w="300" w:type="dxa"/>
            <w:vAlign w:val="bottom"/>
            <w:shd w:val="clear" w:color="auto" w:fill="CCECFF"/>
          </w:tcPr>
          <w:p>
            <w:pPr>
              <w:spacing w:after="0"/>
              <w:rPr>
                <w:sz w:val="19"/>
                <w:szCs w:val="19"/>
                <w:color w:val="auto"/>
              </w:rPr>
            </w:pPr>
          </w:p>
        </w:tc>
        <w:tc>
          <w:tcPr>
            <w:tcW w:w="220" w:type="dxa"/>
            <w:vAlign w:val="bottom"/>
            <w:shd w:val="clear" w:color="auto" w:fill="CCEC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9,371.0</w:t>
            </w: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tcBorders>
              <w:top w:val="single" w:sz="8" w:color="CCECFF"/>
            </w:tcBorders>
            <w:shd w:val="clear" w:color="auto" w:fill="CCECFF"/>
          </w:tcPr>
          <w:p>
            <w:pPr>
              <w:spacing w:after="0" w:line="20" w:lineRule="exact"/>
              <w:rPr>
                <w:sz w:val="1"/>
                <w:szCs w:val="1"/>
                <w:color w:val="auto"/>
              </w:rPr>
            </w:pPr>
          </w:p>
        </w:tc>
        <w:tc>
          <w:tcPr>
            <w:tcW w:w="94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-3805555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-3805555</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-2390775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-2390775</wp:posOffset>
            </wp:positionV>
            <wp:extent cx="774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5650230</wp:posOffset>
            </wp:positionH>
            <wp:positionV relativeFrom="paragraph">
              <wp:posOffset>-329565</wp:posOffset>
            </wp:positionV>
            <wp:extent cx="93980" cy="1797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-329565</wp:posOffset>
            </wp:positionV>
            <wp:extent cx="102870" cy="1797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 included in our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827405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jc w:val="center"/>
        <w:ind w:right="120"/>
        <w:spacing w:after="0" w:line="216" w:lineRule="auto"/>
        <w:rPr>
          <w:sz w:val="20"/>
          <w:szCs w:val="20"/>
          <w:color w:val="auto"/>
        </w:rPr>
      </w:pPr>
      <w:r>
        <w:rPr>
          <w:rFonts w:ascii="Times New Roman" w:cs="Times New Roman" w:eastAsia="Times New Roman" w:hAnsi="Times New Roman"/>
          <w:sz w:val="18"/>
          <w:szCs w:val="18"/>
          <w:b w:val="1"/>
          <w:bCs w:val="1"/>
          <w:color w:val="auto"/>
        </w:rPr>
        <w:t xml:space="preserve">Condensed Consolidated Statements of Cash Flows </w:t>
      </w:r>
      <w:r>
        <w:rPr>
          <w:rFonts w:ascii="Times New Roman" w:cs="Times New Roman" w:eastAsia="Times New Roman" w:hAnsi="Times New Roman"/>
          <w:sz w:val="24"/>
          <w:szCs w:val="24"/>
          <w:b w:val="1"/>
          <w:bCs w:val="1"/>
          <w:color w:val="auto"/>
          <w:vertAlign w:val="superscript"/>
        </w:rPr>
        <w:t>(1)</w:t>
      </w:r>
    </w:p>
    <w:p>
      <w:pPr>
        <w:spacing w:after="0" w:line="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(Unaudited -- In millions)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0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2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60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60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r>
      <w:tr>
        <w:trPr>
          <w:trHeight w:val="210"/>
        </w:trPr>
        <w:tc>
          <w:tcPr>
            <w:tcW w:w="60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00" w:type="dxa"/>
            <w:vAlign w:val="bottom"/>
            <w:shd w:val="clear" w:color="auto" w:fill="CCECFF"/>
          </w:tcPr>
          <w:p>
            <w:pPr>
              <w:spacing w:after="0"/>
              <w:rPr>
                <w:sz w:val="18"/>
                <w:szCs w:val="18"/>
                <w:color w:val="auto"/>
              </w:rPr>
            </w:pPr>
          </w:p>
        </w:tc>
        <w:tc>
          <w:tcPr>
            <w:tcW w:w="74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72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6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7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r>
      <w:tr>
        <w:trPr>
          <w:trHeight w:val="216"/>
        </w:trPr>
        <w:tc>
          <w:tcPr>
            <w:tcW w:w="6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1,030.6</w:t>
            </w:r>
          </w:p>
        </w:tc>
        <w:tc>
          <w:tcPr>
            <w:tcW w:w="280" w:type="dxa"/>
            <w:vAlign w:val="bottom"/>
          </w:tcPr>
          <w:p>
            <w:pPr>
              <w:spacing w:after="0"/>
              <w:rPr>
                <w:sz w:val="18"/>
                <w:szCs w:val="18"/>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8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6,833.7</w:t>
            </w:r>
          </w:p>
        </w:tc>
        <w:tc>
          <w:tcPr>
            <w:tcW w:w="18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924.2</w:t>
            </w:r>
          </w:p>
        </w:tc>
        <w:tc>
          <w:tcPr>
            <w:tcW w:w="120" w:type="dxa"/>
            <w:vAlign w:val="bottom"/>
          </w:tcPr>
          <w:p>
            <w:pPr>
              <w:spacing w:after="0"/>
              <w:rPr>
                <w:sz w:val="18"/>
                <w:szCs w:val="18"/>
                <w:color w:val="auto"/>
              </w:rPr>
            </w:pPr>
          </w:p>
        </w:tc>
      </w:tr>
      <w:tr>
        <w:trPr>
          <w:trHeight w:val="198"/>
        </w:trPr>
        <w:tc>
          <w:tcPr>
            <w:tcW w:w="6080" w:type="dxa"/>
            <w:vAlign w:val="bottom"/>
            <w:shd w:val="clear" w:color="auto" w:fill="CCECFF"/>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to net cash generated</w:t>
            </w:r>
          </w:p>
        </w:tc>
        <w:tc>
          <w:tcPr>
            <w:tcW w:w="200" w:type="dxa"/>
            <w:vAlign w:val="bottom"/>
            <w:shd w:val="clear" w:color="auto" w:fill="CCECFF"/>
          </w:tcPr>
          <w:p>
            <w:pPr>
              <w:spacing w:after="0"/>
              <w:rPr>
                <w:sz w:val="17"/>
                <w:szCs w:val="17"/>
                <w:color w:val="auto"/>
              </w:rPr>
            </w:pPr>
          </w:p>
        </w:tc>
        <w:tc>
          <w:tcPr>
            <w:tcW w:w="74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380" w:type="dxa"/>
            <w:vAlign w:val="bottom"/>
            <w:shd w:val="clear" w:color="auto" w:fill="CCECFF"/>
          </w:tcPr>
          <w:p>
            <w:pPr>
              <w:spacing w:after="0"/>
              <w:rPr>
                <w:sz w:val="17"/>
                <w:szCs w:val="17"/>
                <w:color w:val="auto"/>
              </w:rPr>
            </w:pPr>
          </w:p>
        </w:tc>
        <w:tc>
          <w:tcPr>
            <w:tcW w:w="720" w:type="dxa"/>
            <w:vAlign w:val="bottom"/>
            <w:shd w:val="clear" w:color="auto" w:fill="CCECFF"/>
          </w:tcPr>
          <w:p>
            <w:pPr>
              <w:spacing w:after="0"/>
              <w:rPr>
                <w:sz w:val="17"/>
                <w:szCs w:val="17"/>
                <w:color w:val="auto"/>
              </w:rPr>
            </w:pPr>
          </w:p>
        </w:tc>
        <w:tc>
          <w:tcPr>
            <w:tcW w:w="18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860" w:type="dxa"/>
            <w:vAlign w:val="bottom"/>
            <w:shd w:val="clear" w:color="auto" w:fill="CCECFF"/>
          </w:tcPr>
          <w:p>
            <w:pPr>
              <w:spacing w:after="0"/>
              <w:rPr>
                <w:sz w:val="17"/>
                <w:szCs w:val="17"/>
                <w:color w:val="auto"/>
              </w:rPr>
            </w:pPr>
          </w:p>
        </w:tc>
        <w:tc>
          <w:tcPr>
            <w:tcW w:w="18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74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r>
      <w:tr>
        <w:trPr>
          <w:trHeight w:val="234"/>
        </w:trPr>
        <w:tc>
          <w:tcPr>
            <w:tcW w:w="608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8"/>
                <w:szCs w:val="18"/>
                <w:color w:val="auto"/>
              </w:rPr>
              <w:t>by (used in) operating activities:</w:t>
            </w:r>
          </w:p>
        </w:tc>
        <w:tc>
          <w:tcPr>
            <w:tcW w:w="200" w:type="dxa"/>
            <w:vAlign w:val="bottom"/>
            <w:shd w:val="clear" w:color="auto" w:fill="CCECFF"/>
          </w:tcPr>
          <w:p>
            <w:pPr>
              <w:spacing w:after="0"/>
              <w:rPr>
                <w:sz w:val="20"/>
                <w:szCs w:val="20"/>
                <w:color w:val="auto"/>
              </w:rPr>
            </w:pPr>
          </w:p>
        </w:tc>
        <w:tc>
          <w:tcPr>
            <w:tcW w:w="74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380" w:type="dxa"/>
            <w:vAlign w:val="bottom"/>
            <w:shd w:val="clear" w:color="auto" w:fill="CCECFF"/>
          </w:tcPr>
          <w:p>
            <w:pPr>
              <w:spacing w:after="0"/>
              <w:rPr>
                <w:sz w:val="20"/>
                <w:szCs w:val="20"/>
                <w:color w:val="auto"/>
              </w:rPr>
            </w:pPr>
          </w:p>
        </w:tc>
        <w:tc>
          <w:tcPr>
            <w:tcW w:w="720" w:type="dxa"/>
            <w:vAlign w:val="bottom"/>
            <w:shd w:val="clear" w:color="auto" w:fill="CCECFF"/>
          </w:tcPr>
          <w:p>
            <w:pPr>
              <w:spacing w:after="0"/>
              <w:rPr>
                <w:sz w:val="20"/>
                <w:szCs w:val="20"/>
                <w:color w:val="auto"/>
              </w:rPr>
            </w:pPr>
          </w:p>
        </w:tc>
        <w:tc>
          <w:tcPr>
            <w:tcW w:w="18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240" w:type="dxa"/>
            <w:vAlign w:val="bottom"/>
            <w:shd w:val="clear" w:color="auto" w:fill="CCECFF"/>
          </w:tcPr>
          <w:p>
            <w:pPr>
              <w:spacing w:after="0"/>
              <w:rPr>
                <w:sz w:val="20"/>
                <w:szCs w:val="20"/>
                <w:color w:val="auto"/>
              </w:rPr>
            </w:pPr>
          </w:p>
        </w:tc>
        <w:tc>
          <w:tcPr>
            <w:tcW w:w="860" w:type="dxa"/>
            <w:vAlign w:val="bottom"/>
            <w:shd w:val="clear" w:color="auto" w:fill="CCECFF"/>
          </w:tcPr>
          <w:p>
            <w:pPr>
              <w:spacing w:after="0"/>
              <w:rPr>
                <w:sz w:val="20"/>
                <w:szCs w:val="20"/>
                <w:color w:val="auto"/>
              </w:rPr>
            </w:pPr>
          </w:p>
        </w:tc>
        <w:tc>
          <w:tcPr>
            <w:tcW w:w="18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320" w:type="dxa"/>
            <w:vAlign w:val="bottom"/>
            <w:shd w:val="clear" w:color="auto" w:fill="CCECFF"/>
          </w:tcPr>
          <w:p>
            <w:pPr>
              <w:spacing w:after="0"/>
              <w:rPr>
                <w:sz w:val="20"/>
                <w:szCs w:val="20"/>
                <w:color w:val="auto"/>
              </w:rPr>
            </w:pPr>
          </w:p>
        </w:tc>
        <w:tc>
          <w:tcPr>
            <w:tcW w:w="74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r>
      <w:tr>
        <w:trPr>
          <w:trHeight w:val="216"/>
        </w:trPr>
        <w:tc>
          <w:tcPr>
            <w:tcW w:w="6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120" w:type="dxa"/>
            <w:vAlign w:val="bottom"/>
          </w:tcPr>
          <w:p>
            <w:pPr>
              <w:spacing w:after="0"/>
              <w:rPr>
                <w:sz w:val="18"/>
                <w:szCs w:val="18"/>
                <w:color w:val="auto"/>
              </w:rPr>
            </w:pPr>
          </w:p>
        </w:tc>
      </w:tr>
      <w:tr>
        <w:trPr>
          <w:trHeight w:val="216"/>
        </w:trPr>
        <w:tc>
          <w:tcPr>
            <w:tcW w:w="608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00" w:type="dxa"/>
            <w:vAlign w:val="bottom"/>
            <w:shd w:val="clear" w:color="auto" w:fill="CCECFF"/>
          </w:tcPr>
          <w:p>
            <w:pPr>
              <w:spacing w:after="0"/>
              <w:rPr>
                <w:sz w:val="18"/>
                <w:szCs w:val="18"/>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8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8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shd w:val="clear" w:color="auto" w:fill="CCECFF"/>
          </w:tcPr>
          <w:p>
            <w:pPr>
              <w:spacing w:after="0"/>
              <w:rPr>
                <w:sz w:val="18"/>
                <w:szCs w:val="18"/>
                <w:color w:val="auto"/>
              </w:rPr>
            </w:pPr>
          </w:p>
        </w:tc>
      </w:tr>
      <w:tr>
        <w:trPr>
          <w:trHeight w:val="216"/>
        </w:trPr>
        <w:tc>
          <w:tcPr>
            <w:tcW w:w="6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Pr>
          <w:p>
            <w:pPr>
              <w:spacing w:after="0"/>
              <w:rPr>
                <w:sz w:val="18"/>
                <w:szCs w:val="18"/>
                <w:color w:val="auto"/>
              </w:rPr>
            </w:pPr>
          </w:p>
        </w:tc>
      </w:tr>
      <w:tr>
        <w:trPr>
          <w:trHeight w:val="216"/>
        </w:trPr>
        <w:tc>
          <w:tcPr>
            <w:tcW w:w="608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(Gain) loss on disposal of discontinued operations</w:t>
            </w:r>
          </w:p>
        </w:tc>
        <w:tc>
          <w:tcPr>
            <w:tcW w:w="20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(1,256.4)</w:t>
            </w:r>
          </w:p>
        </w:tc>
        <w:tc>
          <w:tcPr>
            <w:tcW w:w="38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0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(8,265.7)</w:t>
            </w:r>
          </w:p>
        </w:tc>
        <w:tc>
          <w:tcPr>
            <w:tcW w:w="10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8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(869.0)</w:t>
            </w:r>
          </w:p>
        </w:tc>
      </w:tr>
      <w:tr>
        <w:trPr>
          <w:trHeight w:val="216"/>
        </w:trPr>
        <w:tc>
          <w:tcPr>
            <w:tcW w:w="6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Noncash write-off of unamortized DFF and OID</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8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00" w:type="dxa"/>
            <w:vAlign w:val="bottom"/>
            <w:shd w:val="clear" w:color="auto" w:fill="CCECFF"/>
          </w:tcPr>
          <w:p>
            <w:pPr>
              <w:spacing w:after="0"/>
              <w:rPr>
                <w:sz w:val="18"/>
                <w:szCs w:val="18"/>
                <w:color w:val="auto"/>
              </w:rPr>
            </w:pPr>
          </w:p>
        </w:tc>
        <w:tc>
          <w:tcPr>
            <w:tcW w:w="74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72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6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7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r>
      <w:tr>
        <w:trPr>
          <w:trHeight w:val="216"/>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3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(347.3)</w:t>
            </w:r>
          </w:p>
        </w:tc>
      </w:tr>
      <w:tr>
        <w:trPr>
          <w:trHeight w:val="216"/>
        </w:trPr>
        <w:tc>
          <w:tcPr>
            <w:tcW w:w="60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(43.9)</w:t>
            </w:r>
          </w:p>
        </w:tc>
        <w:tc>
          <w:tcPr>
            <w:tcW w:w="38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8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0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(159.9)</w:t>
            </w:r>
          </w:p>
        </w:tc>
        <w:tc>
          <w:tcPr>
            <w:tcW w:w="10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8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(67.5)</w:t>
            </w:r>
          </w:p>
        </w:tc>
      </w:tr>
      <w:tr>
        <w:trPr>
          <w:trHeight w:val="216"/>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(148.9)</w:t>
            </w:r>
          </w:p>
        </w:tc>
      </w:tr>
      <w:tr>
        <w:trPr>
          <w:trHeight w:val="216"/>
        </w:trPr>
        <w:tc>
          <w:tcPr>
            <w:tcW w:w="60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20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(109.1)</w:t>
            </w:r>
          </w:p>
        </w:tc>
        <w:tc>
          <w:tcPr>
            <w:tcW w:w="38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8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0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(292.1)</w:t>
            </w:r>
          </w:p>
        </w:tc>
        <w:tc>
          <w:tcPr>
            <w:tcW w:w="10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120" w:type="dxa"/>
            <w:vAlign w:val="bottom"/>
            <w:shd w:val="clear" w:color="auto" w:fill="CCECFF"/>
          </w:tcPr>
          <w:p>
            <w:pPr>
              <w:spacing w:after="0"/>
              <w:rPr>
                <w:sz w:val="18"/>
                <w:szCs w:val="18"/>
                <w:color w:val="auto"/>
              </w:rPr>
            </w:pPr>
          </w:p>
        </w:tc>
      </w:tr>
      <w:tr>
        <w:trPr>
          <w:trHeight w:val="216"/>
        </w:trPr>
        <w:tc>
          <w:tcPr>
            <w:tcW w:w="6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tcPr>
          <w:p>
            <w:pPr>
              <w:spacing w:after="0"/>
              <w:rPr>
                <w:sz w:val="18"/>
                <w:szCs w:val="18"/>
                <w:color w:val="auto"/>
              </w:rPr>
            </w:pPr>
          </w:p>
        </w:tc>
      </w:tr>
      <w:tr>
        <w:trPr>
          <w:trHeight w:val="20"/>
        </w:trPr>
        <w:tc>
          <w:tcPr>
            <w:tcW w:w="6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0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Net cash generated by (used in) operating activities</w:t>
            </w:r>
          </w:p>
        </w:tc>
        <w:tc>
          <w:tcPr>
            <w:tcW w:w="20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(57.5)</w:t>
            </w:r>
          </w:p>
        </w:tc>
        <w:tc>
          <w:tcPr>
            <w:tcW w:w="38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8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0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(356.9)</w:t>
            </w:r>
          </w:p>
        </w:tc>
        <w:tc>
          <w:tcPr>
            <w:tcW w:w="10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shd w:val="clear" w:color="auto" w:fill="CCEC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8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20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380" w:type="dxa"/>
            <w:vAlign w:val="bottom"/>
            <w:shd w:val="clear" w:color="auto" w:fill="CCECFF"/>
          </w:tcPr>
          <w:p>
            <w:pPr>
              <w:spacing w:after="0"/>
              <w:rPr>
                <w:sz w:val="18"/>
                <w:szCs w:val="18"/>
                <w:color w:val="auto"/>
              </w:rPr>
            </w:pPr>
          </w:p>
        </w:tc>
        <w:tc>
          <w:tcPr>
            <w:tcW w:w="9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0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8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(44.5)</w:t>
            </w:r>
          </w:p>
        </w:tc>
      </w:tr>
      <w:tr>
        <w:trPr>
          <w:trHeight w:val="216"/>
        </w:trPr>
        <w:tc>
          <w:tcPr>
            <w:tcW w:w="6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r>
      <w:tr>
        <w:trPr>
          <w:trHeight w:val="216"/>
        </w:trPr>
        <w:tc>
          <w:tcPr>
            <w:tcW w:w="608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Net proceeds from divestitures</w:t>
            </w:r>
          </w:p>
        </w:tc>
        <w:tc>
          <w:tcPr>
            <w:tcW w:w="200" w:type="dxa"/>
            <w:vAlign w:val="bottom"/>
            <w:shd w:val="clear" w:color="auto" w:fill="CCECFF"/>
          </w:tcPr>
          <w:p>
            <w:pPr>
              <w:spacing w:after="0"/>
              <w:rPr>
                <w:sz w:val="18"/>
                <w:szCs w:val="18"/>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1,868.1</w:t>
            </w:r>
          </w:p>
        </w:tc>
        <w:tc>
          <w:tcPr>
            <w:tcW w:w="28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12,409.8</w:t>
            </w:r>
          </w:p>
        </w:tc>
        <w:tc>
          <w:tcPr>
            <w:tcW w:w="18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2,041.9</w:t>
            </w:r>
          </w:p>
        </w:tc>
        <w:tc>
          <w:tcPr>
            <w:tcW w:w="120" w:type="dxa"/>
            <w:vAlign w:val="bottom"/>
            <w:shd w:val="clear" w:color="auto" w:fill="CCECFF"/>
          </w:tcPr>
          <w:p>
            <w:pPr>
              <w:spacing w:after="0"/>
              <w:rPr>
                <w:sz w:val="18"/>
                <w:szCs w:val="18"/>
                <w:color w:val="auto"/>
              </w:rPr>
            </w:pPr>
          </w:p>
        </w:tc>
      </w:tr>
      <w:tr>
        <w:trPr>
          <w:trHeight w:val="216"/>
        </w:trPr>
        <w:tc>
          <w:tcPr>
            <w:tcW w:w="6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0"/>
        </w:trPr>
        <w:tc>
          <w:tcPr>
            <w:tcW w:w="60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Net cash generated by (used in) investing activities</w:t>
            </w:r>
          </w:p>
        </w:tc>
        <w:tc>
          <w:tcPr>
            <w:tcW w:w="200" w:type="dxa"/>
            <w:vAlign w:val="bottom"/>
            <w:shd w:val="clear" w:color="auto" w:fill="CCECFF"/>
          </w:tcPr>
          <w:p>
            <w:pPr>
              <w:spacing w:after="0"/>
              <w:rPr>
                <w:sz w:val="18"/>
                <w:szCs w:val="18"/>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1,869.8</w:t>
            </w:r>
          </w:p>
        </w:tc>
        <w:tc>
          <w:tcPr>
            <w:tcW w:w="28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9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12,407.3</w:t>
            </w:r>
          </w:p>
        </w:tc>
        <w:tc>
          <w:tcPr>
            <w:tcW w:w="18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2,007.4</w:t>
            </w:r>
          </w:p>
        </w:tc>
        <w:tc>
          <w:tcPr>
            <w:tcW w:w="120" w:type="dxa"/>
            <w:vAlign w:val="bottom"/>
            <w:shd w:val="clear" w:color="auto" w:fill="CCEC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8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Long-term debt repaid</w:t>
            </w:r>
          </w:p>
        </w:tc>
        <w:tc>
          <w:tcPr>
            <w:tcW w:w="20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CFF"/>
          </w:tcPr>
          <w:p>
            <w:pPr>
              <w:spacing w:after="0"/>
              <w:rPr>
                <w:sz w:val="18"/>
                <w:szCs w:val="18"/>
                <w:color w:val="auto"/>
              </w:rPr>
            </w:pPr>
          </w:p>
        </w:tc>
        <w:tc>
          <w:tcPr>
            <w:tcW w:w="90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0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(7,370.8)</w:t>
            </w:r>
          </w:p>
        </w:tc>
        <w:tc>
          <w:tcPr>
            <w:tcW w:w="10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8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(2,049.0)</w:t>
            </w:r>
          </w:p>
        </w:tc>
      </w:tr>
      <w:tr>
        <w:trPr>
          <w:trHeight w:val="216"/>
        </w:trPr>
        <w:tc>
          <w:tcPr>
            <w:tcW w:w="6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Long-term debt proceeds</w:t>
            </w: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18"/>
                <w:szCs w:val="18"/>
                <w:color w:val="auto"/>
              </w:rPr>
            </w:pPr>
          </w:p>
        </w:tc>
      </w:tr>
      <w:tr>
        <w:trPr>
          <w:trHeight w:val="216"/>
        </w:trPr>
        <w:tc>
          <w:tcPr>
            <w:tcW w:w="608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Debt issuance costs</w:t>
            </w:r>
          </w:p>
        </w:tc>
        <w:tc>
          <w:tcPr>
            <w:tcW w:w="20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(0.7)</w:t>
            </w:r>
          </w:p>
        </w:tc>
        <w:tc>
          <w:tcPr>
            <w:tcW w:w="380" w:type="dxa"/>
            <w:vAlign w:val="bottom"/>
            <w:shd w:val="clear" w:color="auto" w:fill="CCECFF"/>
          </w:tcPr>
          <w:p>
            <w:pPr>
              <w:spacing w:after="0"/>
              <w:rPr>
                <w:sz w:val="18"/>
                <w:szCs w:val="18"/>
                <w:color w:val="auto"/>
              </w:rPr>
            </w:pPr>
          </w:p>
        </w:tc>
        <w:tc>
          <w:tcPr>
            <w:tcW w:w="90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0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8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6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Redemption of Series A convertible preferred stock</w:t>
            </w: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8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Special distributions paid to common shareholders</w:t>
            </w:r>
          </w:p>
        </w:tc>
        <w:tc>
          <w:tcPr>
            <w:tcW w:w="20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(1,118.9)</w:t>
            </w:r>
          </w:p>
        </w:tc>
        <w:tc>
          <w:tcPr>
            <w:tcW w:w="380" w:type="dxa"/>
            <w:vAlign w:val="bottom"/>
            <w:shd w:val="clear" w:color="auto" w:fill="CCECFF"/>
          </w:tcPr>
          <w:p>
            <w:pPr>
              <w:spacing w:after="0"/>
              <w:rPr>
                <w:sz w:val="18"/>
                <w:szCs w:val="18"/>
                <w:color w:val="auto"/>
              </w:rPr>
            </w:pPr>
          </w:p>
        </w:tc>
        <w:tc>
          <w:tcPr>
            <w:tcW w:w="90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0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(3,435.2)</w:t>
            </w:r>
          </w:p>
        </w:tc>
        <w:tc>
          <w:tcPr>
            <w:tcW w:w="10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8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Dividends paid on Series A convertible preferred stock</w:t>
            </w: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080" w:type="dxa"/>
            <w:vAlign w:val="bottom"/>
            <w:shd w:val="clear" w:color="auto" w:fill="CCECFF"/>
          </w:tcPr>
          <w:p>
            <w:pPr>
              <w:ind w:left="60"/>
              <w:spacing w:after="0" w:line="198" w:lineRule="exact"/>
              <w:rPr>
                <w:sz w:val="20"/>
                <w:szCs w:val="20"/>
                <w:color w:val="auto"/>
              </w:rPr>
            </w:pPr>
            <w:r>
              <w:rPr>
                <w:rFonts w:ascii="Times New Roman" w:cs="Times New Roman" w:eastAsia="Times New Roman" w:hAnsi="Times New Roman"/>
                <w:sz w:val="18"/>
                <w:szCs w:val="18"/>
                <w:color w:val="auto"/>
              </w:rPr>
              <w:t>Proceeds from the issuance of common shares under equity-based</w:t>
            </w:r>
          </w:p>
        </w:tc>
        <w:tc>
          <w:tcPr>
            <w:tcW w:w="200" w:type="dxa"/>
            <w:vAlign w:val="bottom"/>
            <w:shd w:val="clear" w:color="auto" w:fill="CCECFF"/>
          </w:tcPr>
          <w:p>
            <w:pPr>
              <w:spacing w:after="0"/>
              <w:rPr>
                <w:sz w:val="17"/>
                <w:szCs w:val="17"/>
                <w:color w:val="auto"/>
              </w:rPr>
            </w:pPr>
          </w:p>
        </w:tc>
        <w:tc>
          <w:tcPr>
            <w:tcW w:w="74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380" w:type="dxa"/>
            <w:vAlign w:val="bottom"/>
            <w:shd w:val="clear" w:color="auto" w:fill="CCECFF"/>
          </w:tcPr>
          <w:p>
            <w:pPr>
              <w:spacing w:after="0"/>
              <w:rPr>
                <w:sz w:val="17"/>
                <w:szCs w:val="17"/>
                <w:color w:val="auto"/>
              </w:rPr>
            </w:pPr>
          </w:p>
        </w:tc>
        <w:tc>
          <w:tcPr>
            <w:tcW w:w="720" w:type="dxa"/>
            <w:vAlign w:val="bottom"/>
            <w:shd w:val="clear" w:color="auto" w:fill="CCECFF"/>
          </w:tcPr>
          <w:p>
            <w:pPr>
              <w:spacing w:after="0"/>
              <w:rPr>
                <w:sz w:val="17"/>
                <w:szCs w:val="17"/>
                <w:color w:val="auto"/>
              </w:rPr>
            </w:pPr>
          </w:p>
        </w:tc>
        <w:tc>
          <w:tcPr>
            <w:tcW w:w="18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860" w:type="dxa"/>
            <w:vAlign w:val="bottom"/>
            <w:shd w:val="clear" w:color="auto" w:fill="CCECFF"/>
          </w:tcPr>
          <w:p>
            <w:pPr>
              <w:spacing w:after="0"/>
              <w:rPr>
                <w:sz w:val="17"/>
                <w:szCs w:val="17"/>
                <w:color w:val="auto"/>
              </w:rPr>
            </w:pPr>
          </w:p>
        </w:tc>
        <w:tc>
          <w:tcPr>
            <w:tcW w:w="18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74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r>
      <w:tr>
        <w:trPr>
          <w:trHeight w:val="234"/>
        </w:trPr>
        <w:tc>
          <w:tcPr>
            <w:tcW w:w="60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compensation plans</w:t>
            </w:r>
          </w:p>
        </w:tc>
        <w:tc>
          <w:tcPr>
            <w:tcW w:w="200" w:type="dxa"/>
            <w:vAlign w:val="bottom"/>
            <w:shd w:val="clear" w:color="auto" w:fill="CCECFF"/>
          </w:tcPr>
          <w:p>
            <w:pPr>
              <w:spacing w:after="0"/>
              <w:rPr>
                <w:sz w:val="20"/>
                <w:szCs w:val="20"/>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shd w:val="clear" w:color="auto" w:fill="CCECFF"/>
          </w:tcPr>
          <w:p>
            <w:pPr>
              <w:spacing w:after="0"/>
              <w:rPr>
                <w:sz w:val="20"/>
                <w:szCs w:val="20"/>
                <w:color w:val="auto"/>
              </w:rPr>
            </w:pPr>
          </w:p>
        </w:tc>
        <w:tc>
          <w:tcPr>
            <w:tcW w:w="380" w:type="dxa"/>
            <w:vAlign w:val="bottom"/>
            <w:shd w:val="clear" w:color="auto" w:fill="CCECFF"/>
          </w:tcPr>
          <w:p>
            <w:pPr>
              <w:spacing w:after="0"/>
              <w:rPr>
                <w:sz w:val="20"/>
                <w:szCs w:val="20"/>
                <w:color w:val="auto"/>
              </w:rPr>
            </w:pPr>
          </w:p>
        </w:tc>
        <w:tc>
          <w:tcPr>
            <w:tcW w:w="90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20"/>
                <w:szCs w:val="20"/>
                <w:color w:val="auto"/>
              </w:rPr>
            </w:pPr>
          </w:p>
        </w:tc>
        <w:tc>
          <w:tcPr>
            <w:tcW w:w="240" w:type="dxa"/>
            <w:vAlign w:val="bottom"/>
            <w:shd w:val="clear" w:color="auto" w:fill="CCECFF"/>
          </w:tcPr>
          <w:p>
            <w:pPr>
              <w:spacing w:after="0"/>
              <w:rPr>
                <w:sz w:val="20"/>
                <w:szCs w:val="2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320" w:type="dxa"/>
            <w:vAlign w:val="bottom"/>
            <w:shd w:val="clear" w:color="auto" w:fill="CCECFF"/>
          </w:tcPr>
          <w:p>
            <w:pPr>
              <w:spacing w:after="0"/>
              <w:rPr>
                <w:sz w:val="20"/>
                <w:szCs w:val="20"/>
                <w:color w:val="auto"/>
              </w:rPr>
            </w:pPr>
          </w:p>
        </w:tc>
        <w:tc>
          <w:tcPr>
            <w:tcW w:w="8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08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Tax withholding payments for vested equity-based compensation</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6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awards</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38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608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20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(157.0)</w:t>
            </w:r>
          </w:p>
        </w:tc>
        <w:tc>
          <w:tcPr>
            <w:tcW w:w="380" w:type="dxa"/>
            <w:vAlign w:val="bottom"/>
            <w:shd w:val="clear" w:color="auto" w:fill="CCECFF"/>
          </w:tcPr>
          <w:p>
            <w:pPr>
              <w:spacing w:after="0"/>
              <w:rPr>
                <w:sz w:val="18"/>
                <w:szCs w:val="18"/>
                <w:color w:val="auto"/>
              </w:rPr>
            </w:pPr>
          </w:p>
        </w:tc>
        <w:tc>
          <w:tcPr>
            <w:tcW w:w="90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0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(157.0)</w:t>
            </w:r>
          </w:p>
        </w:tc>
        <w:tc>
          <w:tcPr>
            <w:tcW w:w="10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8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(1,281.0)</w:t>
            </w:r>
          </w:p>
        </w:tc>
        <w:tc>
          <w:tcPr>
            <w:tcW w:w="2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(2,015.9)</w:t>
            </w:r>
          </w:p>
        </w:tc>
        <w:tc>
          <w:tcPr>
            <w:tcW w:w="120" w:type="dxa"/>
            <w:vAlign w:val="bottom"/>
          </w:tcPr>
          <w:p>
            <w:pPr>
              <w:spacing w:after="0"/>
              <w:rPr>
                <w:sz w:val="18"/>
                <w:szCs w:val="18"/>
                <w:color w:val="auto"/>
              </w:rPr>
            </w:pPr>
          </w:p>
        </w:tc>
      </w:tr>
      <w:tr>
        <w:trPr>
          <w:trHeight w:val="216"/>
        </w:trPr>
        <w:tc>
          <w:tcPr>
            <w:tcW w:w="60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00" w:type="dxa"/>
            <w:vAlign w:val="bottom"/>
            <w:shd w:val="clear" w:color="auto" w:fill="CCECFF"/>
          </w:tcPr>
          <w:p>
            <w:pPr>
              <w:spacing w:after="0"/>
              <w:rPr>
                <w:sz w:val="18"/>
                <w:szCs w:val="18"/>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9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CFF"/>
          </w:tcPr>
          <w:p>
            <w:pPr>
              <w:spacing w:after="0"/>
              <w:rPr>
                <w:sz w:val="18"/>
                <w:szCs w:val="18"/>
                <w:color w:val="auto"/>
              </w:rPr>
            </w:pPr>
          </w:p>
        </w:tc>
      </w:tr>
      <w:tr>
        <w:trPr>
          <w:trHeight w:val="20"/>
        </w:trPr>
        <w:tc>
          <w:tcPr>
            <w:tcW w:w="6080" w:type="dxa"/>
            <w:vAlign w:val="bottom"/>
            <w:shd w:val="clear" w:color="auto" w:fill="CCEC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r>
      <w:tr>
        <w:trPr>
          <w:trHeight w:val="21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531.5</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18"/>
                <w:szCs w:val="18"/>
                <w:color w:val="auto"/>
              </w:rPr>
            </w:pPr>
          </w:p>
        </w:tc>
      </w:tr>
      <w:tr>
        <w:trPr>
          <w:trHeight w:val="216"/>
        </w:trPr>
        <w:tc>
          <w:tcPr>
            <w:tcW w:w="60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00" w:type="dxa"/>
            <w:vAlign w:val="bottom"/>
            <w:tcBorders>
              <w:bottom w:val="single" w:sz="8" w:color="auto"/>
            </w:tcBorders>
            <w:shd w:val="clear" w:color="auto" w:fill="CCECFF"/>
          </w:tcPr>
          <w:p>
            <w:pPr>
              <w:spacing w:after="0"/>
              <w:rPr>
                <w:sz w:val="18"/>
                <w:szCs w:val="18"/>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280" w:type="dxa"/>
            <w:vAlign w:val="bottom"/>
            <w:tcBorders>
              <w:bottom w:val="single" w:sz="8" w:color="CCECFF"/>
            </w:tcBorders>
            <w:shd w:val="clear" w:color="auto" w:fill="CCECFF"/>
          </w:tcPr>
          <w:p>
            <w:pPr>
              <w:spacing w:after="0"/>
              <w:rPr>
                <w:sz w:val="18"/>
                <w:szCs w:val="18"/>
                <w:color w:val="auto"/>
              </w:rPr>
            </w:pPr>
          </w:p>
        </w:tc>
        <w:tc>
          <w:tcPr>
            <w:tcW w:w="380" w:type="dxa"/>
            <w:vAlign w:val="bottom"/>
            <w:tcBorders>
              <w:bottom w:val="single" w:sz="8" w:color="auto"/>
            </w:tcBorders>
            <w:shd w:val="clear" w:color="auto" w:fill="CCECFF"/>
          </w:tcPr>
          <w:p>
            <w:pPr>
              <w:spacing w:after="0"/>
              <w:rPr>
                <w:sz w:val="18"/>
                <w:szCs w:val="18"/>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571.1</w:t>
            </w:r>
          </w:p>
        </w:tc>
        <w:tc>
          <w:tcPr>
            <w:tcW w:w="18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spacing w:after="0"/>
              <w:rPr>
                <w:sz w:val="18"/>
                <w:szCs w:val="18"/>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922.8</w:t>
            </w:r>
          </w:p>
        </w:tc>
        <w:tc>
          <w:tcPr>
            <w:tcW w:w="18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auto"/>
            </w:tcBorders>
            <w:shd w:val="clear" w:color="auto" w:fill="CCECFF"/>
          </w:tcPr>
          <w:p>
            <w:pPr>
              <w:spacing w:after="0"/>
              <w:rPr>
                <w:sz w:val="18"/>
                <w:szCs w:val="18"/>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120" w:type="dxa"/>
            <w:vAlign w:val="bottom"/>
            <w:tcBorders>
              <w:bottom w:val="single" w:sz="8" w:color="CCECFF"/>
            </w:tcBorders>
            <w:shd w:val="clear" w:color="auto" w:fill="CCECFF"/>
          </w:tcPr>
          <w:p>
            <w:pPr>
              <w:spacing w:after="0"/>
              <w:rPr>
                <w:sz w:val="18"/>
                <w:szCs w:val="18"/>
                <w:color w:val="auto"/>
              </w:rPr>
            </w:pPr>
          </w:p>
        </w:tc>
      </w:tr>
      <w:tr>
        <w:trPr>
          <w:trHeight w:val="21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683.1</w:t>
            </w:r>
          </w:p>
        </w:tc>
        <w:tc>
          <w:tcPr>
            <w:tcW w:w="280" w:type="dxa"/>
            <w:vAlign w:val="bottom"/>
          </w:tcPr>
          <w:p>
            <w:pPr>
              <w:spacing w:after="0"/>
              <w:rPr>
                <w:sz w:val="18"/>
                <w:szCs w:val="18"/>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18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683.1</w:t>
            </w:r>
          </w:p>
        </w:tc>
        <w:tc>
          <w:tcPr>
            <w:tcW w:w="18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120" w:type="dxa"/>
            <w:vAlign w:val="bottom"/>
          </w:tcPr>
          <w:p>
            <w:pPr>
              <w:spacing w:after="0"/>
              <w:rPr>
                <w:sz w:val="18"/>
                <w:szCs w:val="18"/>
                <w:color w:val="auto"/>
              </w:rPr>
            </w:pPr>
          </w:p>
        </w:tc>
      </w:tr>
      <w:tr>
        <w:trPr>
          <w:trHeight w:val="20"/>
        </w:trPr>
        <w:tc>
          <w:tcPr>
            <w:tcW w:w="6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-453390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-453390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-453390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-453390</wp:posOffset>
            </wp:positionV>
            <wp:extent cx="774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-170815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-170815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-170815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right="500" w:firstLine="8"/>
        <w:spacing w:after="0" w:line="282"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flows related to discontinued operations have not been segregated. Accordingly, the Condensed Consolidated Statements of Cash Flows include the results of continuing and discontinued operations.</w:t>
      </w:r>
    </w:p>
    <w:p>
      <w:pPr>
        <w:spacing w:after="0" w:line="16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 included in our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1264920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 w:name="page13"/>
    <w:bookmarkEnd w:id="12"/>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Reconciliation of GAAP Measures to Non-GAAP Adjusted Measures</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(Unaudited -- In millions, except per share amounts)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92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60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0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60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b w:val="1"/>
                <w:bCs w:val="1"/>
                <w:color w:val="auto"/>
              </w:rPr>
              <w:t>Income (loss) from continuing operations, as reported</w:t>
            </w:r>
          </w:p>
        </w:tc>
        <w:tc>
          <w:tcPr>
            <w:tcW w:w="2720" w:type="dxa"/>
            <w:vAlign w:val="bottom"/>
            <w:gridSpan w:val="2"/>
            <w:shd w:val="clear" w:color="auto" w:fill="CCECFF"/>
          </w:tcPr>
          <w:p>
            <w:pPr>
              <w:jc w:val="right"/>
              <w:ind w:right="699"/>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54.7</w:t>
            </w:r>
          </w:p>
        </w:tc>
        <w:tc>
          <w:tcPr>
            <w:tcW w:w="220" w:type="dxa"/>
            <w:vAlign w:val="bottom"/>
            <w:shd w:val="clear" w:color="auto" w:fill="CCECFF"/>
          </w:tcPr>
          <w:p>
            <w:pPr>
              <w:spacing w:after="0"/>
              <w:rPr>
                <w:sz w:val="18"/>
                <w:szCs w:val="18"/>
                <w:color w:val="auto"/>
              </w:rPr>
            </w:pPr>
          </w:p>
        </w:tc>
        <w:tc>
          <w:tcPr>
            <w:tcW w:w="1200" w:type="dxa"/>
            <w:vAlign w:val="bottom"/>
            <w:gridSpan w:val="2"/>
            <w:shd w:val="clear" w:color="auto" w:fill="CCECFF"/>
          </w:tcPr>
          <w:p>
            <w:pPr>
              <w:jc w:val="right"/>
              <w:ind w:right="859"/>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(18.9)</w:t>
            </w: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 as reported</w:t>
            </w:r>
          </w:p>
        </w:tc>
        <w:tc>
          <w:tcPr>
            <w:tcW w:w="1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8"/>
                <w:szCs w:val="18"/>
                <w:color w:val="auto"/>
              </w:rPr>
            </w:pPr>
          </w:p>
        </w:tc>
      </w:tr>
      <w:tr>
        <w:trPr>
          <w:trHeight w:val="216"/>
        </w:trPr>
        <w:tc>
          <w:tcPr>
            <w:tcW w:w="60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Interest income, as reported</w:t>
            </w:r>
          </w:p>
        </w:tc>
        <w:tc>
          <w:tcPr>
            <w:tcW w:w="1860" w:type="dxa"/>
            <w:vAlign w:val="bottom"/>
            <w:shd w:val="clear" w:color="auto" w:fill="CCECFF"/>
          </w:tcPr>
          <w:p>
            <w:pPr>
              <w:spacing w:after="0"/>
              <w:rPr>
                <w:sz w:val="18"/>
                <w:szCs w:val="18"/>
                <w:color w:val="auto"/>
              </w:rPr>
            </w:pPr>
          </w:p>
        </w:tc>
        <w:tc>
          <w:tcPr>
            <w:tcW w:w="860" w:type="dxa"/>
            <w:vAlign w:val="bottom"/>
            <w:shd w:val="clear" w:color="auto" w:fill="CCECFF"/>
          </w:tcPr>
          <w:p>
            <w:pPr>
              <w:spacing w:after="0"/>
              <w:rPr>
                <w:sz w:val="18"/>
                <w:szCs w:val="18"/>
                <w:color w:val="auto"/>
              </w:rPr>
            </w:pPr>
          </w:p>
        </w:tc>
        <w:tc>
          <w:tcPr>
            <w:tcW w:w="72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8"/>
                <w:szCs w:val="18"/>
                <w:color w:val="auto"/>
              </w:rPr>
              <w:t>(12.9)</w:t>
            </w:r>
          </w:p>
        </w:tc>
        <w:tc>
          <w:tcPr>
            <w:tcW w:w="160" w:type="dxa"/>
            <w:vAlign w:val="bottom"/>
            <w:shd w:val="clear" w:color="auto" w:fill="CCECFF"/>
          </w:tcPr>
          <w:p>
            <w:pPr>
              <w:spacing w:after="0"/>
              <w:rPr>
                <w:sz w:val="18"/>
                <w:szCs w:val="18"/>
                <w:color w:val="auto"/>
              </w:rPr>
            </w:pPr>
          </w:p>
        </w:tc>
        <w:tc>
          <w:tcPr>
            <w:tcW w:w="1040" w:type="dxa"/>
            <w:vAlign w:val="bottom"/>
            <w:shd w:val="clear" w:color="auto" w:fill="CCECFF"/>
          </w:tcPr>
          <w:p>
            <w:pPr>
              <w:spacing w:after="0"/>
              <w:rPr>
                <w:sz w:val="18"/>
                <w:szCs w:val="18"/>
                <w:color w:val="auto"/>
              </w:rPr>
            </w:pPr>
          </w:p>
        </w:tc>
        <w:tc>
          <w:tcPr>
            <w:tcW w:w="6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as reported</w:t>
            </w:r>
          </w:p>
        </w:tc>
        <w:tc>
          <w:tcPr>
            <w:tcW w:w="1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Other (income) expense, as reported</w:t>
            </w:r>
          </w:p>
        </w:tc>
        <w:tc>
          <w:tcPr>
            <w:tcW w:w="1860" w:type="dxa"/>
            <w:vAlign w:val="bottom"/>
            <w:shd w:val="clear" w:color="auto" w:fill="CCECFF"/>
          </w:tcPr>
          <w:p>
            <w:pPr>
              <w:spacing w:after="0"/>
              <w:rPr>
                <w:sz w:val="18"/>
                <w:szCs w:val="18"/>
                <w:color w:val="auto"/>
              </w:rPr>
            </w:pPr>
          </w:p>
        </w:tc>
        <w:tc>
          <w:tcPr>
            <w:tcW w:w="860" w:type="dxa"/>
            <w:vAlign w:val="bottom"/>
            <w:shd w:val="clear" w:color="auto" w:fill="CCECFF"/>
          </w:tcPr>
          <w:p>
            <w:pPr>
              <w:spacing w:after="0"/>
              <w:rPr>
                <w:sz w:val="18"/>
                <w:szCs w:val="18"/>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040" w:type="dxa"/>
            <w:vAlign w:val="bottom"/>
            <w:shd w:val="clear" w:color="auto" w:fill="CCECFF"/>
          </w:tcPr>
          <w:p>
            <w:pPr>
              <w:spacing w:after="0"/>
              <w:rPr>
                <w:sz w:val="18"/>
                <w:szCs w:val="18"/>
                <w:color w:val="auto"/>
              </w:rPr>
            </w:pPr>
          </w:p>
        </w:tc>
        <w:tc>
          <w:tcPr>
            <w:tcW w:w="6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r>
      <w:tr>
        <w:trPr>
          <w:trHeight w:val="20"/>
        </w:trPr>
        <w:tc>
          <w:tcPr>
            <w:tcW w:w="6000" w:type="dxa"/>
            <w:vAlign w:val="bottom"/>
            <w:shd w:val="clear" w:color="auto" w:fill="CCECFF"/>
          </w:tcPr>
          <w:p>
            <w:pPr>
              <w:spacing w:after="0" w:line="20" w:lineRule="exact"/>
              <w:rPr>
                <w:sz w:val="1"/>
                <w:szCs w:val="1"/>
                <w:color w:val="auto"/>
              </w:rPr>
            </w:pPr>
          </w:p>
        </w:tc>
        <w:tc>
          <w:tcPr>
            <w:tcW w:w="1860" w:type="dxa"/>
            <w:vAlign w:val="bottom"/>
            <w:shd w:val="clear" w:color="auto" w:fill="CCEC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10"/>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 as reported</w:t>
            </w:r>
          </w:p>
        </w:tc>
        <w:tc>
          <w:tcPr>
            <w:tcW w:w="2720" w:type="dxa"/>
            <w:vAlign w:val="bottom"/>
            <w:gridSpan w:val="2"/>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20" w:type="dxa"/>
            <w:vAlign w:val="bottom"/>
          </w:tcPr>
          <w:p>
            <w:pPr>
              <w:spacing w:after="0"/>
              <w:rPr>
                <w:sz w:val="18"/>
                <w:szCs w:val="18"/>
                <w:color w:val="auto"/>
              </w:rPr>
            </w:pPr>
          </w:p>
        </w:tc>
        <w:tc>
          <w:tcPr>
            <w:tcW w:w="1200" w:type="dxa"/>
            <w:vAlign w:val="bottom"/>
            <w:gridSpan w:val="2"/>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60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860" w:type="dxa"/>
            <w:vAlign w:val="bottom"/>
            <w:shd w:val="clear" w:color="auto" w:fill="CCECFF"/>
          </w:tcPr>
          <w:p>
            <w:pPr>
              <w:spacing w:after="0"/>
              <w:rPr>
                <w:sz w:val="18"/>
                <w:szCs w:val="18"/>
                <w:color w:val="auto"/>
              </w:rPr>
            </w:pPr>
          </w:p>
        </w:tc>
        <w:tc>
          <w:tcPr>
            <w:tcW w:w="860" w:type="dxa"/>
            <w:vAlign w:val="bottom"/>
            <w:shd w:val="clear" w:color="auto" w:fill="CCECFF"/>
          </w:tcPr>
          <w:p>
            <w:pPr>
              <w:spacing w:after="0"/>
              <w:rPr>
                <w:sz w:val="18"/>
                <w:szCs w:val="18"/>
                <w:color w:val="auto"/>
              </w:rPr>
            </w:pPr>
          </w:p>
        </w:tc>
        <w:tc>
          <w:tcPr>
            <w:tcW w:w="5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040" w:type="dxa"/>
            <w:vAlign w:val="bottom"/>
            <w:shd w:val="clear" w:color="auto" w:fill="CCECFF"/>
          </w:tcPr>
          <w:p>
            <w:pPr>
              <w:spacing w:after="0"/>
              <w:rPr>
                <w:sz w:val="18"/>
                <w:szCs w:val="18"/>
                <w:color w:val="auto"/>
              </w:rPr>
            </w:pPr>
          </w:p>
        </w:tc>
        <w:tc>
          <w:tcPr>
            <w:tcW w:w="5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216"/>
        </w:trPr>
        <w:tc>
          <w:tcPr>
            <w:tcW w:w="6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1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8"/>
                <w:szCs w:val="18"/>
                <w:color w:val="auto"/>
              </w:rPr>
            </w:pPr>
          </w:p>
        </w:tc>
      </w:tr>
      <w:tr>
        <w:trPr>
          <w:trHeight w:val="216"/>
        </w:trPr>
        <w:tc>
          <w:tcPr>
            <w:tcW w:w="600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8"/>
                <w:szCs w:val="18"/>
                <w:color w:val="auto"/>
              </w:rPr>
              <w:t>Restructuring costs, net</w:t>
            </w:r>
          </w:p>
        </w:tc>
        <w:tc>
          <w:tcPr>
            <w:tcW w:w="1860" w:type="dxa"/>
            <w:vAlign w:val="bottom"/>
            <w:shd w:val="clear" w:color="auto" w:fill="CCECFF"/>
          </w:tcPr>
          <w:p>
            <w:pPr>
              <w:spacing w:after="0"/>
              <w:rPr>
                <w:sz w:val="18"/>
                <w:szCs w:val="18"/>
                <w:color w:val="auto"/>
              </w:rPr>
            </w:pPr>
          </w:p>
        </w:tc>
        <w:tc>
          <w:tcPr>
            <w:tcW w:w="860" w:type="dxa"/>
            <w:vAlign w:val="bottom"/>
            <w:shd w:val="clear" w:color="auto" w:fill="CCECFF"/>
          </w:tcPr>
          <w:p>
            <w:pPr>
              <w:spacing w:after="0"/>
              <w:rPr>
                <w:sz w:val="18"/>
                <w:szCs w:val="18"/>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040" w:type="dxa"/>
            <w:vAlign w:val="bottom"/>
            <w:shd w:val="clear" w:color="auto" w:fill="CCECFF"/>
          </w:tcPr>
          <w:p>
            <w:pPr>
              <w:spacing w:after="0"/>
              <w:rPr>
                <w:sz w:val="18"/>
                <w:szCs w:val="18"/>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CFF"/>
          </w:tcPr>
          <w:p>
            <w:pPr>
              <w:spacing w:after="0"/>
              <w:rPr>
                <w:sz w:val="18"/>
                <w:szCs w:val="18"/>
                <w:color w:val="auto"/>
              </w:rPr>
            </w:pPr>
          </w:p>
        </w:tc>
      </w:tr>
      <w:tr>
        <w:trPr>
          <w:trHeight w:val="216"/>
        </w:trPr>
        <w:tc>
          <w:tcPr>
            <w:tcW w:w="6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8"/>
                <w:szCs w:val="18"/>
                <w:color w:val="auto"/>
              </w:rPr>
            </w:pPr>
          </w:p>
        </w:tc>
      </w:tr>
      <w:tr>
        <w:trPr>
          <w:trHeight w:val="216"/>
        </w:trPr>
        <w:tc>
          <w:tcPr>
            <w:tcW w:w="600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8"/>
                <w:szCs w:val="18"/>
                <w:color w:val="auto"/>
              </w:rPr>
              <w:t>Transaction, transformation and integration costs</w:t>
            </w:r>
          </w:p>
        </w:tc>
        <w:tc>
          <w:tcPr>
            <w:tcW w:w="1860" w:type="dxa"/>
            <w:vAlign w:val="bottom"/>
            <w:shd w:val="clear" w:color="auto" w:fill="CCECFF"/>
          </w:tcPr>
          <w:p>
            <w:pPr>
              <w:spacing w:after="0"/>
              <w:rPr>
                <w:sz w:val="18"/>
                <w:szCs w:val="18"/>
                <w:color w:val="auto"/>
              </w:rPr>
            </w:pPr>
          </w:p>
        </w:tc>
        <w:tc>
          <w:tcPr>
            <w:tcW w:w="860" w:type="dxa"/>
            <w:vAlign w:val="bottom"/>
            <w:shd w:val="clear" w:color="auto" w:fill="CCECFF"/>
          </w:tcPr>
          <w:p>
            <w:pPr>
              <w:spacing w:after="0"/>
              <w:rPr>
                <w:sz w:val="18"/>
                <w:szCs w:val="18"/>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040" w:type="dxa"/>
            <w:vAlign w:val="bottom"/>
            <w:shd w:val="clear" w:color="auto" w:fill="CCECFF"/>
          </w:tcPr>
          <w:p>
            <w:pPr>
              <w:spacing w:after="0"/>
              <w:rPr>
                <w:sz w:val="18"/>
                <w:szCs w:val="18"/>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CFF"/>
          </w:tcPr>
          <w:p>
            <w:pPr>
              <w:spacing w:after="0"/>
              <w:rPr>
                <w:sz w:val="18"/>
                <w:szCs w:val="18"/>
                <w:color w:val="auto"/>
              </w:rPr>
            </w:pPr>
          </w:p>
        </w:tc>
      </w:tr>
      <w:tr>
        <w:trPr>
          <w:trHeight w:val="216"/>
        </w:trPr>
        <w:tc>
          <w:tcPr>
            <w:tcW w:w="6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1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8"/>
                <w:szCs w:val="18"/>
                <w:color w:val="auto"/>
              </w:rPr>
            </w:pPr>
          </w:p>
        </w:tc>
      </w:tr>
      <w:tr>
        <w:trPr>
          <w:trHeight w:val="216"/>
        </w:trPr>
        <w:tc>
          <w:tcPr>
            <w:tcW w:w="600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860" w:type="dxa"/>
            <w:vAlign w:val="bottom"/>
            <w:shd w:val="clear" w:color="auto" w:fill="CCECFF"/>
          </w:tcPr>
          <w:p>
            <w:pPr>
              <w:spacing w:after="0"/>
              <w:rPr>
                <w:sz w:val="18"/>
                <w:szCs w:val="18"/>
                <w:color w:val="auto"/>
              </w:rPr>
            </w:pPr>
          </w:p>
        </w:tc>
        <w:tc>
          <w:tcPr>
            <w:tcW w:w="860" w:type="dxa"/>
            <w:vAlign w:val="bottom"/>
            <w:shd w:val="clear" w:color="auto" w:fill="CCECFF"/>
          </w:tcPr>
          <w:p>
            <w:pPr>
              <w:spacing w:after="0"/>
              <w:rPr>
                <w:sz w:val="18"/>
                <w:szCs w:val="18"/>
                <w:color w:val="auto"/>
              </w:rPr>
            </w:pPr>
          </w:p>
        </w:tc>
        <w:tc>
          <w:tcPr>
            <w:tcW w:w="7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CFF"/>
          </w:tcPr>
          <w:p>
            <w:pPr>
              <w:spacing w:after="0"/>
              <w:rPr>
                <w:sz w:val="18"/>
                <w:szCs w:val="18"/>
                <w:color w:val="auto"/>
              </w:rPr>
            </w:pPr>
          </w:p>
        </w:tc>
        <w:tc>
          <w:tcPr>
            <w:tcW w:w="1040" w:type="dxa"/>
            <w:vAlign w:val="bottom"/>
            <w:shd w:val="clear" w:color="auto" w:fill="CCECFF"/>
          </w:tcPr>
          <w:p>
            <w:pPr>
              <w:spacing w:after="0"/>
              <w:rPr>
                <w:sz w:val="18"/>
                <w:szCs w:val="18"/>
                <w:color w:val="auto"/>
              </w:rPr>
            </w:pPr>
          </w:p>
        </w:tc>
        <w:tc>
          <w:tcPr>
            <w:tcW w:w="6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r>
      <w:tr>
        <w:trPr>
          <w:trHeight w:val="209"/>
        </w:trPr>
        <w:tc>
          <w:tcPr>
            <w:tcW w:w="6000" w:type="dxa"/>
            <w:vAlign w:val="bottom"/>
            <w:tcBorders>
              <w:top w:val="single" w:sz="8" w:color="CCECFF"/>
            </w:tcBorders>
          </w:tcPr>
          <w:p>
            <w:pPr>
              <w:ind w:left="280"/>
              <w:spacing w:after="0"/>
              <w:rPr>
                <w:sz w:val="20"/>
                <w:szCs w:val="20"/>
                <w:color w:val="auto"/>
              </w:rPr>
            </w:pPr>
            <w:r>
              <w:rPr>
                <w:rFonts w:ascii="Times New Roman" w:cs="Times New Roman" w:eastAsia="Times New Roman" w:hAnsi="Times New Roman"/>
                <w:sz w:val="18"/>
                <w:szCs w:val="18"/>
                <w:color w:val="auto"/>
              </w:rPr>
              <w:t>Total adjustments to operating income (loss)</w:t>
            </w:r>
          </w:p>
        </w:tc>
        <w:tc>
          <w:tcPr>
            <w:tcW w:w="1860" w:type="dxa"/>
            <w:vAlign w:val="bottom"/>
            <w:tcBorders>
              <w:top w:val="single" w:sz="8" w:color="CCECFF"/>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20" w:type="dxa"/>
            <w:vAlign w:val="bottom"/>
            <w:tcBorders>
              <w:top w:val="single" w:sz="8" w:color="CCECFF"/>
            </w:tcBorders>
          </w:tcPr>
          <w:p>
            <w:pPr>
              <w:spacing w:after="0"/>
              <w:rPr>
                <w:sz w:val="18"/>
                <w:szCs w:val="18"/>
                <w:color w:val="auto"/>
              </w:rPr>
            </w:pPr>
          </w:p>
        </w:tc>
        <w:tc>
          <w:tcPr>
            <w:tcW w:w="160" w:type="dxa"/>
            <w:vAlign w:val="bottom"/>
            <w:tcBorders>
              <w:top w:val="single" w:sz="8" w:color="CCECFF"/>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top w:val="single" w:sz="8" w:color="CCECFF"/>
            </w:tcBorders>
          </w:tcPr>
          <w:p>
            <w:pPr>
              <w:spacing w:after="0"/>
              <w:rPr>
                <w:sz w:val="18"/>
                <w:szCs w:val="18"/>
                <w:color w:val="auto"/>
              </w:rPr>
            </w:pPr>
          </w:p>
        </w:tc>
      </w:tr>
      <w:tr>
        <w:trPr>
          <w:trHeight w:val="250"/>
        </w:trPr>
        <w:tc>
          <w:tcPr>
            <w:tcW w:w="60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b w:val="1"/>
                <w:bCs w:val="1"/>
                <w:color w:val="auto"/>
              </w:rPr>
              <w:t>Non-GAAP adjusted EBITDA</w:t>
            </w:r>
          </w:p>
        </w:tc>
        <w:tc>
          <w:tcPr>
            <w:tcW w:w="2720" w:type="dxa"/>
            <w:vAlign w:val="bottom"/>
            <w:gridSpan w:val="2"/>
            <w:shd w:val="clear" w:color="auto" w:fill="CCECFF"/>
          </w:tcPr>
          <w:p>
            <w:pPr>
              <w:jc w:val="right"/>
              <w:ind w:right="699"/>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56.6</w:t>
            </w:r>
          </w:p>
        </w:tc>
        <w:tc>
          <w:tcPr>
            <w:tcW w:w="220" w:type="dxa"/>
            <w:vAlign w:val="bottom"/>
            <w:shd w:val="clear" w:color="auto" w:fill="CCECFF"/>
          </w:tcPr>
          <w:p>
            <w:pPr>
              <w:spacing w:after="0"/>
              <w:rPr>
                <w:sz w:val="21"/>
                <w:szCs w:val="21"/>
                <w:color w:val="auto"/>
              </w:rPr>
            </w:pPr>
          </w:p>
        </w:tc>
        <w:tc>
          <w:tcPr>
            <w:tcW w:w="1200" w:type="dxa"/>
            <w:vAlign w:val="bottom"/>
            <w:gridSpan w:val="2"/>
            <w:shd w:val="clear" w:color="auto" w:fill="CCECFF"/>
          </w:tcPr>
          <w:p>
            <w:pPr>
              <w:jc w:val="right"/>
              <w:ind w:right="859"/>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24.8</w:t>
            </w:r>
          </w:p>
        </w:tc>
        <w:tc>
          <w:tcPr>
            <w:tcW w:w="100" w:type="dxa"/>
            <w:vAlign w:val="bottom"/>
            <w:shd w:val="clear" w:color="auto" w:fill="CCECFF"/>
          </w:tcPr>
          <w:p>
            <w:pPr>
              <w:spacing w:after="0"/>
              <w:rPr>
                <w:sz w:val="21"/>
                <w:szCs w:val="21"/>
                <w:color w:val="auto"/>
              </w:rPr>
            </w:pPr>
          </w:p>
        </w:tc>
      </w:tr>
      <w:tr>
        <w:trPr>
          <w:trHeight w:val="196"/>
        </w:trPr>
        <w:tc>
          <w:tcPr>
            <w:tcW w:w="6000" w:type="dxa"/>
            <w:vAlign w:val="bottom"/>
            <w:tcBorders>
              <w:top w:val="single" w:sz="8" w:color="CCECFF"/>
            </w:tcBorders>
          </w:tcPr>
          <w:p>
            <w:pPr>
              <w:spacing w:after="0"/>
              <w:rPr>
                <w:sz w:val="17"/>
                <w:szCs w:val="17"/>
                <w:color w:val="auto"/>
              </w:rPr>
            </w:pPr>
          </w:p>
        </w:tc>
        <w:tc>
          <w:tcPr>
            <w:tcW w:w="1860" w:type="dxa"/>
            <w:vAlign w:val="bottom"/>
            <w:tcBorders>
              <w:top w:val="single" w:sz="8" w:color="CCECFF"/>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20" w:type="dxa"/>
            <w:vAlign w:val="bottom"/>
            <w:tcBorders>
              <w:top w:val="single" w:sz="8" w:color="CCECFF"/>
            </w:tcBorders>
          </w:tcPr>
          <w:p>
            <w:pPr>
              <w:spacing w:after="0"/>
              <w:rPr>
                <w:sz w:val="17"/>
                <w:szCs w:val="17"/>
                <w:color w:val="auto"/>
              </w:rPr>
            </w:pPr>
          </w:p>
        </w:tc>
        <w:tc>
          <w:tcPr>
            <w:tcW w:w="160" w:type="dxa"/>
            <w:vAlign w:val="bottom"/>
            <w:tcBorders>
              <w:top w:val="single" w:sz="8" w:color="CCECFF"/>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Borders>
              <w:top w:val="single" w:sz="8" w:color="CCECFF"/>
            </w:tcBorders>
          </w:tcPr>
          <w:p>
            <w:pPr>
              <w:spacing w:after="0"/>
              <w:rPr>
                <w:sz w:val="17"/>
                <w:szCs w:val="17"/>
                <w:color w:val="auto"/>
              </w:rPr>
            </w:pPr>
          </w:p>
        </w:tc>
      </w:tr>
      <w:tr>
        <w:trPr>
          <w:trHeight w:val="216"/>
        </w:trPr>
        <w:tc>
          <w:tcPr>
            <w:tcW w:w="60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b w:val="1"/>
                <w:bCs w:val="1"/>
                <w:color w:val="auto"/>
              </w:rPr>
              <w:t>Income (loss) from continuing operations, as reported</w:t>
            </w:r>
          </w:p>
        </w:tc>
        <w:tc>
          <w:tcPr>
            <w:tcW w:w="2720" w:type="dxa"/>
            <w:vAlign w:val="bottom"/>
            <w:gridSpan w:val="2"/>
            <w:shd w:val="clear" w:color="auto" w:fill="CCECFF"/>
          </w:tcPr>
          <w:p>
            <w:pPr>
              <w:jc w:val="right"/>
              <w:ind w:right="699"/>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54.7</w:t>
            </w:r>
          </w:p>
        </w:tc>
        <w:tc>
          <w:tcPr>
            <w:tcW w:w="220" w:type="dxa"/>
            <w:vAlign w:val="bottom"/>
            <w:shd w:val="clear" w:color="auto" w:fill="CCECFF"/>
          </w:tcPr>
          <w:p>
            <w:pPr>
              <w:spacing w:after="0"/>
              <w:rPr>
                <w:sz w:val="18"/>
                <w:szCs w:val="18"/>
                <w:color w:val="auto"/>
              </w:rPr>
            </w:pPr>
          </w:p>
        </w:tc>
        <w:tc>
          <w:tcPr>
            <w:tcW w:w="1200" w:type="dxa"/>
            <w:vAlign w:val="bottom"/>
            <w:gridSpan w:val="2"/>
            <w:shd w:val="clear" w:color="auto" w:fill="CCECFF"/>
          </w:tcPr>
          <w:p>
            <w:pPr>
              <w:jc w:val="right"/>
              <w:ind w:right="859"/>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(18.9)</w:t>
            </w: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0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8"/>
                <w:szCs w:val="18"/>
                <w:color w:val="auto"/>
              </w:rPr>
              <w:t>Total pretax adjustments to adjusted EBITDA</w:t>
            </w:r>
          </w:p>
        </w:tc>
        <w:tc>
          <w:tcPr>
            <w:tcW w:w="1860" w:type="dxa"/>
            <w:vAlign w:val="bottom"/>
            <w:shd w:val="clear" w:color="auto" w:fill="CCECFF"/>
          </w:tcPr>
          <w:p>
            <w:pPr>
              <w:spacing w:after="0"/>
              <w:rPr>
                <w:sz w:val="18"/>
                <w:szCs w:val="18"/>
                <w:color w:val="auto"/>
              </w:rPr>
            </w:pPr>
          </w:p>
        </w:tc>
        <w:tc>
          <w:tcPr>
            <w:tcW w:w="860" w:type="dxa"/>
            <w:vAlign w:val="bottom"/>
            <w:shd w:val="clear" w:color="auto" w:fill="CCECFF"/>
          </w:tcPr>
          <w:p>
            <w:pPr>
              <w:spacing w:after="0"/>
              <w:rPr>
                <w:sz w:val="18"/>
                <w:szCs w:val="18"/>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040" w:type="dxa"/>
            <w:vAlign w:val="bottom"/>
            <w:shd w:val="clear" w:color="auto" w:fill="CCECFF"/>
          </w:tcPr>
          <w:p>
            <w:pPr>
              <w:spacing w:after="0"/>
              <w:rPr>
                <w:sz w:val="18"/>
                <w:szCs w:val="18"/>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CFF"/>
          </w:tcPr>
          <w:p>
            <w:pPr>
              <w:spacing w:after="0"/>
              <w:rPr>
                <w:sz w:val="18"/>
                <w:szCs w:val="18"/>
                <w:color w:val="auto"/>
              </w:rPr>
            </w:pPr>
          </w:p>
        </w:tc>
      </w:tr>
      <w:tr>
        <w:trPr>
          <w:trHeight w:val="216"/>
        </w:trPr>
        <w:tc>
          <w:tcPr>
            <w:tcW w:w="600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Pretax amortization of debt issuance costs and OID </w:t>
            </w:r>
            <w:r>
              <w:rPr>
                <w:rFonts w:ascii="Times New Roman" w:cs="Times New Roman" w:eastAsia="Times New Roman" w:hAnsi="Times New Roman"/>
                <w:sz w:val="24"/>
                <w:szCs w:val="24"/>
                <w:color w:val="auto"/>
                <w:vertAlign w:val="superscript"/>
              </w:rPr>
              <w:t>(1)</w:t>
            </w:r>
          </w:p>
        </w:tc>
        <w:tc>
          <w:tcPr>
            <w:tcW w:w="1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00" w:type="dxa"/>
            <w:vAlign w:val="bottom"/>
            <w:shd w:val="clear" w:color="auto" w:fill="CCECFF"/>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Tax effects of adjustments and other tax items </w:t>
            </w:r>
            <w:r>
              <w:rPr>
                <w:rFonts w:ascii="Times New Roman" w:cs="Times New Roman" w:eastAsia="Times New Roman" w:hAnsi="Times New Roman"/>
                <w:sz w:val="24"/>
                <w:szCs w:val="24"/>
                <w:color w:val="auto"/>
                <w:vertAlign w:val="superscript"/>
              </w:rPr>
              <w:t>(2)</w:t>
            </w:r>
          </w:p>
        </w:tc>
        <w:tc>
          <w:tcPr>
            <w:tcW w:w="1860" w:type="dxa"/>
            <w:vAlign w:val="bottom"/>
            <w:shd w:val="clear" w:color="auto" w:fill="CCECFF"/>
          </w:tcPr>
          <w:p>
            <w:pPr>
              <w:spacing w:after="0"/>
              <w:rPr>
                <w:sz w:val="18"/>
                <w:szCs w:val="18"/>
                <w:color w:val="auto"/>
              </w:rPr>
            </w:pPr>
          </w:p>
        </w:tc>
        <w:tc>
          <w:tcPr>
            <w:tcW w:w="860" w:type="dxa"/>
            <w:vAlign w:val="bottom"/>
            <w:shd w:val="clear" w:color="auto" w:fill="CCECFF"/>
          </w:tcPr>
          <w:p>
            <w:pPr>
              <w:spacing w:after="0"/>
              <w:rPr>
                <w:sz w:val="18"/>
                <w:szCs w:val="18"/>
                <w:color w:val="auto"/>
              </w:rPr>
            </w:pPr>
          </w:p>
        </w:tc>
        <w:tc>
          <w:tcPr>
            <w:tcW w:w="72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8"/>
                <w:szCs w:val="18"/>
                <w:color w:val="auto"/>
              </w:rPr>
              <w:t>(33.2)</w:t>
            </w:r>
          </w:p>
        </w:tc>
        <w:tc>
          <w:tcPr>
            <w:tcW w:w="160" w:type="dxa"/>
            <w:vAlign w:val="bottom"/>
            <w:shd w:val="clear" w:color="auto" w:fill="CCECFF"/>
          </w:tcPr>
          <w:p>
            <w:pPr>
              <w:spacing w:after="0"/>
              <w:rPr>
                <w:sz w:val="18"/>
                <w:szCs w:val="18"/>
                <w:color w:val="auto"/>
              </w:rPr>
            </w:pPr>
          </w:p>
        </w:tc>
        <w:tc>
          <w:tcPr>
            <w:tcW w:w="1040" w:type="dxa"/>
            <w:vAlign w:val="bottom"/>
            <w:shd w:val="clear" w:color="auto" w:fill="CCECFF"/>
          </w:tcPr>
          <w:p>
            <w:pPr>
              <w:spacing w:after="0"/>
              <w:rPr>
                <w:sz w:val="18"/>
                <w:szCs w:val="18"/>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CFF"/>
          </w:tcPr>
          <w:p>
            <w:pPr>
              <w:spacing w:after="0"/>
              <w:rPr>
                <w:sz w:val="18"/>
                <w:szCs w:val="18"/>
                <w:color w:val="auto"/>
              </w:rPr>
            </w:pPr>
          </w:p>
        </w:tc>
      </w:tr>
      <w:tr>
        <w:trPr>
          <w:trHeight w:val="20"/>
        </w:trPr>
        <w:tc>
          <w:tcPr>
            <w:tcW w:w="6000" w:type="dxa"/>
            <w:vAlign w:val="bottom"/>
            <w:shd w:val="clear" w:color="auto" w:fill="CCECFF"/>
          </w:tcPr>
          <w:p>
            <w:pPr>
              <w:spacing w:after="0" w:line="20" w:lineRule="exact"/>
              <w:rPr>
                <w:sz w:val="1"/>
                <w:szCs w:val="1"/>
                <w:color w:val="auto"/>
              </w:rPr>
            </w:pPr>
          </w:p>
        </w:tc>
        <w:tc>
          <w:tcPr>
            <w:tcW w:w="1860" w:type="dxa"/>
            <w:vAlign w:val="bottom"/>
            <w:shd w:val="clear" w:color="auto" w:fill="CCEC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10"/>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adjusted net income</w:t>
            </w:r>
          </w:p>
        </w:tc>
        <w:tc>
          <w:tcPr>
            <w:tcW w:w="2720" w:type="dxa"/>
            <w:vAlign w:val="bottom"/>
            <w:gridSpan w:val="2"/>
          </w:tcPr>
          <w:p>
            <w:pPr>
              <w:jc w:val="right"/>
              <w:ind w:right="699"/>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53.0</w:t>
            </w:r>
          </w:p>
        </w:tc>
        <w:tc>
          <w:tcPr>
            <w:tcW w:w="220" w:type="dxa"/>
            <w:vAlign w:val="bottom"/>
          </w:tcPr>
          <w:p>
            <w:pPr>
              <w:spacing w:after="0"/>
              <w:rPr>
                <w:sz w:val="18"/>
                <w:szCs w:val="18"/>
                <w:color w:val="auto"/>
              </w:rPr>
            </w:pPr>
          </w:p>
        </w:tc>
        <w:tc>
          <w:tcPr>
            <w:tcW w:w="1200" w:type="dxa"/>
            <w:vAlign w:val="bottom"/>
            <w:gridSpan w:val="2"/>
          </w:tcPr>
          <w:p>
            <w:pPr>
              <w:jc w:val="right"/>
              <w:ind w:right="859"/>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w:t>
            </w:r>
          </w:p>
        </w:tc>
        <w:tc>
          <w:tcPr>
            <w:tcW w:w="100" w:type="dxa"/>
            <w:vAlign w:val="bottom"/>
          </w:tcPr>
          <w:p>
            <w:pPr>
              <w:spacing w:after="0"/>
              <w:rPr>
                <w:sz w:val="18"/>
                <w:szCs w:val="18"/>
                <w:color w:val="auto"/>
              </w:rPr>
            </w:pPr>
          </w:p>
        </w:tc>
      </w:tr>
      <w:tr>
        <w:trPr>
          <w:trHeight w:val="20"/>
        </w:trPr>
        <w:tc>
          <w:tcPr>
            <w:tcW w:w="60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4"/>
        </w:trPr>
        <w:tc>
          <w:tcPr>
            <w:tcW w:w="6000" w:type="dxa"/>
            <w:vAlign w:val="bottom"/>
            <w:shd w:val="clear" w:color="auto" w:fill="CCECFF"/>
          </w:tcPr>
          <w:p>
            <w:pPr>
              <w:spacing w:after="0" w:line="154" w:lineRule="exact"/>
              <w:rPr>
                <w:sz w:val="20"/>
                <w:szCs w:val="20"/>
                <w:color w:val="auto"/>
              </w:rPr>
            </w:pPr>
            <w:r>
              <w:rPr>
                <w:rFonts w:ascii="Times New Roman" w:cs="Times New Roman" w:eastAsia="Times New Roman" w:hAnsi="Times New Roman"/>
                <w:sz w:val="17"/>
                <w:szCs w:val="17"/>
                <w:b w:val="1"/>
                <w:bCs w:val="1"/>
                <w:color w:val="auto"/>
              </w:rPr>
              <w:t>GAAP income (loss) from continuing operations per</w:t>
            </w:r>
          </w:p>
        </w:tc>
        <w:tc>
          <w:tcPr>
            <w:tcW w:w="186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5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5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258"/>
        </w:trPr>
        <w:tc>
          <w:tcPr>
            <w:tcW w:w="6000" w:type="dxa"/>
            <w:vAlign w:val="bottom"/>
            <w:shd w:val="clear" w:color="auto" w:fill="CCECFF"/>
          </w:tcPr>
          <w:p>
            <w:pPr>
              <w:ind w:left="140"/>
              <w:spacing w:after="0" w:line="258" w:lineRule="exact"/>
              <w:rPr>
                <w:sz w:val="20"/>
                <w:szCs w:val="20"/>
                <w:color w:val="auto"/>
              </w:rPr>
            </w:pPr>
            <w:r>
              <w:rPr>
                <w:rFonts w:ascii="Times New Roman" w:cs="Times New Roman" w:eastAsia="Times New Roman" w:hAnsi="Times New Roman"/>
                <w:sz w:val="18"/>
                <w:szCs w:val="18"/>
                <w:b w:val="1"/>
                <w:bCs w:val="1"/>
                <w:color w:val="auto"/>
              </w:rPr>
              <w:t xml:space="preserve">diluted share, as reported </w:t>
            </w:r>
            <w:r>
              <w:rPr>
                <w:rFonts w:ascii="Times New Roman" w:cs="Times New Roman" w:eastAsia="Times New Roman" w:hAnsi="Times New Roman"/>
                <w:sz w:val="24"/>
                <w:szCs w:val="24"/>
                <w:b w:val="1"/>
                <w:bCs w:val="1"/>
                <w:color w:val="auto"/>
                <w:vertAlign w:val="superscript"/>
              </w:rPr>
              <w:t>(3)</w:t>
            </w:r>
          </w:p>
        </w:tc>
        <w:tc>
          <w:tcPr>
            <w:tcW w:w="2720" w:type="dxa"/>
            <w:vAlign w:val="bottom"/>
            <w:gridSpan w:val="2"/>
            <w:shd w:val="clear" w:color="auto" w:fill="CCECFF"/>
          </w:tcPr>
          <w:p>
            <w:pPr>
              <w:jc w:val="right"/>
              <w:ind w:right="699"/>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0.24</w:t>
            </w:r>
          </w:p>
        </w:tc>
        <w:tc>
          <w:tcPr>
            <w:tcW w:w="220" w:type="dxa"/>
            <w:vAlign w:val="bottom"/>
            <w:shd w:val="clear" w:color="auto" w:fill="CCECFF"/>
          </w:tcPr>
          <w:p>
            <w:pPr>
              <w:spacing w:after="0"/>
              <w:rPr>
                <w:sz w:val="22"/>
                <w:szCs w:val="22"/>
                <w:color w:val="auto"/>
              </w:rPr>
            </w:pPr>
          </w:p>
        </w:tc>
        <w:tc>
          <w:tcPr>
            <w:tcW w:w="1200" w:type="dxa"/>
            <w:vAlign w:val="bottom"/>
            <w:gridSpan w:val="2"/>
            <w:shd w:val="clear" w:color="auto" w:fill="CCECFF"/>
          </w:tcPr>
          <w:p>
            <w:pPr>
              <w:jc w:val="right"/>
              <w:ind w:right="859"/>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(0.16)</w:t>
            </w:r>
          </w:p>
        </w:tc>
      </w:tr>
      <w:tr>
        <w:trPr>
          <w:trHeight w:val="321"/>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Non-GAAP adjusted net income per diluted share </w:t>
            </w:r>
            <w:r>
              <w:rPr>
                <w:rFonts w:ascii="Times New Roman" w:cs="Times New Roman" w:eastAsia="Times New Roman" w:hAnsi="Times New Roman"/>
                <w:sz w:val="24"/>
                <w:szCs w:val="24"/>
                <w:b w:val="1"/>
                <w:bCs w:val="1"/>
                <w:color w:val="auto"/>
                <w:vertAlign w:val="superscript"/>
              </w:rPr>
              <w:t>(4)</w:t>
            </w:r>
          </w:p>
        </w:tc>
        <w:tc>
          <w:tcPr>
            <w:tcW w:w="2720" w:type="dxa"/>
            <w:vAlign w:val="bottom"/>
            <w:gridSpan w:val="2"/>
          </w:tcPr>
          <w:p>
            <w:pPr>
              <w:jc w:val="right"/>
              <w:ind w:right="699"/>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0.23</w:t>
            </w:r>
          </w:p>
        </w:tc>
        <w:tc>
          <w:tcPr>
            <w:tcW w:w="220" w:type="dxa"/>
            <w:vAlign w:val="bottom"/>
          </w:tcPr>
          <w:p>
            <w:pPr>
              <w:spacing w:after="0"/>
              <w:rPr>
                <w:sz w:val="24"/>
                <w:szCs w:val="24"/>
                <w:color w:val="auto"/>
              </w:rPr>
            </w:pPr>
          </w:p>
        </w:tc>
        <w:tc>
          <w:tcPr>
            <w:tcW w:w="1200" w:type="dxa"/>
            <w:vAlign w:val="bottom"/>
            <w:gridSpan w:val="2"/>
          </w:tcPr>
          <w:p>
            <w:pPr>
              <w:jc w:val="right"/>
              <w:ind w:right="859"/>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0.06</w:t>
            </w: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-2894965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-2894965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-1788795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-1788795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-1497330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-1480185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-1497330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-1480185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-648970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-648970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3"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interest expense.</w:t>
      </w:r>
    </w:p>
    <w:p>
      <w:pPr>
        <w:spacing w:after="0" w:line="27" w:lineRule="exact"/>
        <w:rPr>
          <w:rFonts w:ascii="Times New Roman" w:cs="Times New Roman" w:eastAsia="Times New Roman" w:hAnsi="Times New Roman"/>
          <w:sz w:val="18"/>
          <w:szCs w:val="18"/>
          <w:color w:val="auto"/>
        </w:rPr>
      </w:pPr>
    </w:p>
    <w:p>
      <w:pPr>
        <w:ind w:right="320" w:firstLine="8"/>
        <w:spacing w:after="0" w:line="250"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rates applied to adjustments reflect the tax expense or benefit based on the tax jurisdiction of the entity generating the adjustment. There are certain items for which we expect little or no tax effect.</w:t>
      </w:r>
    </w:p>
    <w:p>
      <w:pPr>
        <w:ind w:right="560" w:firstLine="8"/>
        <w:spacing w:after="0" w:line="250"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September 30, 2025, GAAP income (loss) from continuing operations per diluted share was calculated using income (loss) from continuing operations in the numerator, and includes the impact of the Series A convertible preferred stock dividend.</w:t>
      </w:r>
    </w:p>
    <w:p>
      <w:pPr>
        <w:ind w:right="180" w:firstLine="8"/>
        <w:spacing w:after="0" w:line="260"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shares used in the calculation of non-GAAP adjusted diluted income per share are 226.9 million and 277.7 million for the three months ended September 30, 2026 and 2025,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“Non-GAAP Financial Measures”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1924685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Sales by Region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 In millions)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Sales by Region</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480" w:type="dxa"/>
            <w:vAlign w:val="bottom"/>
          </w:tcPr>
          <w:p>
            <w:pPr>
              <w:spacing w:after="0"/>
              <w:rPr>
                <w:sz w:val="17"/>
                <w:szCs w:val="17"/>
                <w:color w:val="auto"/>
              </w:rPr>
            </w:pPr>
          </w:p>
        </w:tc>
      </w:tr>
      <w:tr>
        <w:trPr>
          <w:trHeight w:val="215"/>
        </w:trPr>
        <w:tc>
          <w:tcPr>
            <w:tcW w:w="54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Q3 2026</w:t>
            </w:r>
          </w:p>
        </w:tc>
        <w:tc>
          <w:tcPr>
            <w:tcW w:w="50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Q3 2025</w:t>
            </w:r>
          </w:p>
        </w:tc>
        <w:tc>
          <w:tcPr>
            <w:tcW w:w="48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YOY</w:t>
            </w:r>
          </w:p>
        </w:tc>
        <w:tc>
          <w:tcPr>
            <w:tcW w:w="480" w:type="dxa"/>
            <w:vAlign w:val="bottom"/>
            <w:tcBorders>
              <w:bottom w:val="single" w:sz="8" w:color="auto"/>
            </w:tcBorders>
          </w:tcPr>
          <w:p>
            <w:pPr>
              <w:spacing w:after="0"/>
              <w:rPr>
                <w:sz w:val="18"/>
                <w:szCs w:val="18"/>
                <w:color w:val="auto"/>
              </w:rPr>
            </w:pPr>
          </w:p>
        </w:tc>
      </w:tr>
      <w:tr>
        <w:trPr>
          <w:trHeight w:val="213"/>
        </w:trPr>
        <w:tc>
          <w:tcPr>
            <w:tcW w:w="54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220" w:type="dxa"/>
            <w:vAlign w:val="bottom"/>
            <w:shd w:val="clear" w:color="auto" w:fill="CCECFF"/>
          </w:tcPr>
          <w:p>
            <w:pPr>
              <w:jc w:val="right"/>
              <w:ind w:right="103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1600" w:type="dxa"/>
            <w:vAlign w:val="bottom"/>
            <w:gridSpan w:val="2"/>
            <w:shd w:val="clear" w:color="auto" w:fill="CCECFF"/>
          </w:tcPr>
          <w:p>
            <w:pPr>
              <w:jc w:val="right"/>
              <w:ind w:right="10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15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480" w:type="dxa"/>
            <w:vAlign w:val="bottom"/>
            <w:shd w:val="clear" w:color="auto" w:fill="CCECFF"/>
          </w:tcPr>
          <w:p>
            <w:pPr>
              <w:jc w:val="right"/>
              <w:ind w:right="230"/>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56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75.0</w:t>
            </w:r>
          </w:p>
        </w:tc>
        <w:tc>
          <w:tcPr>
            <w:tcW w:w="480" w:type="dxa"/>
            <w:vAlign w:val="bottom"/>
          </w:tcPr>
          <w:p>
            <w:pPr>
              <w:spacing w:after="0"/>
              <w:rPr>
                <w:sz w:val="18"/>
                <w:szCs w:val="18"/>
                <w:color w:val="auto"/>
              </w:rPr>
            </w:pPr>
          </w:p>
        </w:tc>
      </w:tr>
      <w:tr>
        <w:trPr>
          <w:trHeight w:val="216"/>
        </w:trPr>
        <w:tc>
          <w:tcPr>
            <w:tcW w:w="54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220" w:type="dxa"/>
            <w:vAlign w:val="bottom"/>
            <w:shd w:val="clear" w:color="auto" w:fill="CCECFF"/>
          </w:tcPr>
          <w:p>
            <w:pPr>
              <w:spacing w:after="0"/>
              <w:rPr>
                <w:sz w:val="18"/>
                <w:szCs w:val="18"/>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400" w:type="dxa"/>
            <w:vAlign w:val="bottom"/>
            <w:shd w:val="clear" w:color="auto" w:fill="CCECFF"/>
          </w:tcPr>
          <w:p>
            <w:pPr>
              <w:spacing w:after="0"/>
              <w:rPr>
                <w:sz w:val="18"/>
                <w:szCs w:val="18"/>
                <w:color w:val="auto"/>
              </w:rPr>
            </w:pPr>
          </w:p>
        </w:tc>
        <w:tc>
          <w:tcPr>
            <w:tcW w:w="1200" w:type="dxa"/>
            <w:vAlign w:val="bottom"/>
            <w:shd w:val="clear" w:color="auto" w:fill="CCECFF"/>
          </w:tcPr>
          <w:p>
            <w:pPr>
              <w:spacing w:after="0"/>
              <w:rPr>
                <w:sz w:val="18"/>
                <w:szCs w:val="18"/>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560" w:type="dxa"/>
            <w:vAlign w:val="bottom"/>
            <w:gridSpan w:val="2"/>
            <w:shd w:val="clear" w:color="auto" w:fill="CCECFF"/>
          </w:tcPr>
          <w:p>
            <w:pPr>
              <w:jc w:val="right"/>
              <w:ind w:right="79"/>
              <w:spacing w:after="0"/>
              <w:rPr>
                <w:sz w:val="20"/>
                <w:szCs w:val="20"/>
                <w:color w:val="auto"/>
              </w:rPr>
            </w:pPr>
            <w:r>
              <w:rPr>
                <w:rFonts w:ascii="Times New Roman" w:cs="Times New Roman" w:eastAsia="Times New Roman" w:hAnsi="Times New Roman"/>
                <w:sz w:val="18"/>
                <w:szCs w:val="18"/>
                <w:color w:val="auto"/>
              </w:rPr>
              <w:t>11.4</w:t>
            </w:r>
          </w:p>
        </w:tc>
        <w:tc>
          <w:tcPr>
            <w:tcW w:w="480" w:type="dxa"/>
            <w:vAlign w:val="bottom"/>
            <w:shd w:val="clear" w:color="auto" w:fill="CCEC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Caribbean and Latin America</w:t>
            </w:r>
          </w:p>
        </w:tc>
        <w:tc>
          <w:tcPr>
            <w:tcW w:w="1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480" w:type="dxa"/>
            <w:vAlign w:val="bottom"/>
          </w:tcPr>
          <w:p>
            <w:pPr>
              <w:spacing w:after="0"/>
              <w:rPr>
                <w:sz w:val="18"/>
                <w:szCs w:val="18"/>
                <w:color w:val="auto"/>
              </w:rPr>
            </w:pPr>
          </w:p>
        </w:tc>
      </w:tr>
      <w:tr>
        <w:trPr>
          <w:trHeight w:val="216"/>
        </w:trPr>
        <w:tc>
          <w:tcPr>
            <w:tcW w:w="540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Canada</w:t>
            </w:r>
          </w:p>
        </w:tc>
        <w:tc>
          <w:tcPr>
            <w:tcW w:w="1220" w:type="dxa"/>
            <w:vAlign w:val="bottom"/>
            <w:tcBorders>
              <w:bottom w:val="single" w:sz="8" w:color="auto"/>
            </w:tcBorders>
            <w:shd w:val="clear" w:color="auto" w:fill="CCECFF"/>
          </w:tcPr>
          <w:p>
            <w:pPr>
              <w:spacing w:after="0"/>
              <w:rPr>
                <w:sz w:val="18"/>
                <w:szCs w:val="18"/>
                <w:color w:val="auto"/>
              </w:rPr>
            </w:pPr>
          </w:p>
        </w:tc>
        <w:tc>
          <w:tcPr>
            <w:tcW w:w="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400" w:type="dxa"/>
            <w:vAlign w:val="bottom"/>
            <w:tcBorders>
              <w:bottom w:val="single" w:sz="8" w:color="CCECFF"/>
            </w:tcBorders>
            <w:shd w:val="clear" w:color="auto" w:fill="CCECFF"/>
          </w:tcPr>
          <w:p>
            <w:pPr>
              <w:spacing w:after="0"/>
              <w:rPr>
                <w:sz w:val="18"/>
                <w:szCs w:val="18"/>
                <w:color w:val="auto"/>
              </w:rPr>
            </w:pPr>
          </w:p>
        </w:tc>
        <w:tc>
          <w:tcPr>
            <w:tcW w:w="1200" w:type="dxa"/>
            <w:vAlign w:val="bottom"/>
            <w:tcBorders>
              <w:bottom w:val="single" w:sz="8" w:color="auto"/>
            </w:tcBorders>
            <w:shd w:val="clear" w:color="auto" w:fill="CCECFF"/>
          </w:tcPr>
          <w:p>
            <w:pPr>
              <w:spacing w:after="0"/>
              <w:rPr>
                <w:sz w:val="18"/>
                <w:szCs w:val="18"/>
                <w:color w:val="auto"/>
              </w:rPr>
            </w:pPr>
          </w:p>
        </w:tc>
        <w:tc>
          <w:tcPr>
            <w:tcW w:w="4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56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480" w:type="dxa"/>
            <w:vAlign w:val="bottom"/>
            <w:tcBorders>
              <w:bottom w:val="single" w:sz="8" w:color="CCECFF"/>
            </w:tcBorders>
            <w:shd w:val="clear" w:color="auto" w:fill="CCECFF"/>
          </w:tcPr>
          <w:p>
            <w:pPr>
              <w:spacing w:after="0"/>
              <w:rPr>
                <w:sz w:val="18"/>
                <w:szCs w:val="18"/>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1220" w:type="dxa"/>
            <w:vAlign w:val="bottom"/>
          </w:tcPr>
          <w:p>
            <w:pPr>
              <w:jc w:val="right"/>
              <w:ind w:right="103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1600" w:type="dxa"/>
            <w:vAlign w:val="bottom"/>
            <w:gridSpan w:val="2"/>
          </w:tcPr>
          <w:p>
            <w:pPr>
              <w:jc w:val="right"/>
              <w:ind w:right="10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54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351"/>
        </w:trPr>
        <w:tc>
          <w:tcPr>
            <w:tcW w:w="54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-1054100</wp:posOffset>
            </wp:positionV>
            <wp:extent cx="768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-1054100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 In millions)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Net Sales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2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tcPr>
          <w:p>
            <w:pPr>
              <w:jc w:val="center"/>
              <w:ind w:left="334"/>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2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Q3 2026</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Q3 2025</w:t>
            </w:r>
          </w:p>
        </w:tc>
        <w:tc>
          <w:tcPr>
            <w:tcW w:w="1400" w:type="dxa"/>
            <w:vAlign w:val="bottom"/>
          </w:tcPr>
          <w:p>
            <w:pPr>
              <w:jc w:val="center"/>
              <w:ind w:left="354"/>
              <w:spacing w:after="0"/>
              <w:rPr>
                <w:sz w:val="20"/>
                <w:szCs w:val="20"/>
                <w:color w:val="auto"/>
              </w:rPr>
            </w:pPr>
            <w:r>
              <w:rPr>
                <w:rFonts w:ascii="Times New Roman" w:cs="Times New Roman" w:eastAsia="Times New Roman" w:hAnsi="Times New Roman"/>
                <w:sz w:val="16"/>
                <w:szCs w:val="16"/>
                <w:b w:val="1"/>
                <w:bCs w:val="1"/>
                <w:color w:val="auto"/>
              </w:rPr>
              <w:t>YOY</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40" w:type="dxa"/>
            <w:vAlign w:val="bottom"/>
            <w:gridSpan w:val="2"/>
            <w:shd w:val="clear" w:color="auto" w:fill="CCECFF"/>
          </w:tcPr>
          <w:p>
            <w:pPr>
              <w:spacing w:after="0" w:line="212" w:lineRule="exact"/>
              <w:rPr>
                <w:sz w:val="20"/>
                <w:szCs w:val="20"/>
                <w:color w:val="auto"/>
              </w:rPr>
            </w:pPr>
            <w:r>
              <w:rPr>
                <w:rFonts w:ascii="Times New Roman" w:cs="Times New Roman" w:eastAsia="Times New Roman" w:hAnsi="Times New Roman"/>
                <w:sz w:val="18"/>
                <w:szCs w:val="18"/>
                <w:color w:val="auto"/>
              </w:rPr>
              <w:t xml:space="preserve">Aurora </w:t>
            </w:r>
            <w:r>
              <w:rPr>
                <w:rFonts w:ascii="Times New Roman" w:cs="Times New Roman" w:eastAsia="Times New Roman" w:hAnsi="Times New Roman"/>
                <w:sz w:val="24"/>
                <w:szCs w:val="24"/>
                <w:color w:val="auto"/>
                <w:vertAlign w:val="superscript"/>
              </w:rPr>
              <w:t>(1)</w:t>
            </w:r>
          </w:p>
        </w:tc>
        <w:tc>
          <w:tcPr>
            <w:tcW w:w="1060" w:type="dxa"/>
            <w:vAlign w:val="bottom"/>
            <w:tcBorders>
              <w:top w:val="single" w:sz="8" w:color="auto"/>
            </w:tcBorders>
            <w:shd w:val="clear" w:color="auto" w:fill="CCECFF"/>
          </w:tcPr>
          <w:p>
            <w:pPr>
              <w:jc w:val="right"/>
              <w:ind w:right="897"/>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340" w:type="dxa"/>
            <w:vAlign w:val="bottom"/>
            <w:shd w:val="clear" w:color="auto" w:fill="CCECFF"/>
          </w:tcPr>
          <w:p>
            <w:pPr>
              <w:spacing w:after="0"/>
              <w:rPr>
                <w:sz w:val="18"/>
                <w:szCs w:val="18"/>
                <w:color w:val="auto"/>
              </w:rPr>
            </w:pPr>
          </w:p>
        </w:tc>
        <w:tc>
          <w:tcPr>
            <w:tcW w:w="280" w:type="dxa"/>
            <w:vAlign w:val="bottom"/>
            <w:tcBorders>
              <w:top w:val="single" w:sz="8" w:color="auto"/>
            </w:tcBorders>
            <w:shd w:val="clear" w:color="auto" w:fill="CCEC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280" w:type="dxa"/>
            <w:vAlign w:val="bottom"/>
            <w:shd w:val="clear" w:color="auto" w:fill="CCECFF"/>
          </w:tcPr>
          <w:p>
            <w:pPr>
              <w:spacing w:after="0"/>
              <w:rPr>
                <w:sz w:val="18"/>
                <w:szCs w:val="18"/>
                <w:color w:val="auto"/>
              </w:rPr>
            </w:pPr>
          </w:p>
        </w:tc>
        <w:tc>
          <w:tcPr>
            <w:tcW w:w="14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40" w:type="dxa"/>
            <w:vAlign w:val="bottom"/>
            <w:tcBorders>
              <w:top w:val="single" w:sz="8" w:color="auto"/>
            </w:tcBorders>
            <w:shd w:val="clear" w:color="auto" w:fill="CCEC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24"/>
                <w:szCs w:val="24"/>
                <w:color w:val="auto"/>
                <w:vertAlign w:val="superscript"/>
              </w:rPr>
              <w:t>(2)</w:t>
            </w:r>
          </w:p>
        </w:tc>
        <w:tc>
          <w:tcPr>
            <w:tcW w:w="10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NM</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740" w:type="dxa"/>
            <w:vAlign w:val="bottom"/>
            <w:tcBorders>
              <w:top w:val="single" w:sz="8" w:color="CCECFF"/>
              <w:bottom w:val="single" w:sz="8" w:color="CCECFF"/>
            </w:tcBorders>
            <w:gridSpan w:val="2"/>
            <w:shd w:val="clear" w:color="auto" w:fill="CCECFF"/>
          </w:tcPr>
          <w:p>
            <w:pPr>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1060" w:type="dxa"/>
            <w:vAlign w:val="bottom"/>
            <w:tcBorders>
              <w:top w:val="single" w:sz="8" w:color="auto"/>
              <w:bottom w:val="single" w:sz="8" w:color="auto"/>
            </w:tcBorders>
            <w:shd w:val="clear" w:color="auto" w:fill="CCECFF"/>
          </w:tcPr>
          <w:p>
            <w:pPr>
              <w:jc w:val="right"/>
              <w:ind w:right="897"/>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340" w:type="dxa"/>
            <w:vAlign w:val="bottom"/>
            <w:tcBorders>
              <w:top w:val="single" w:sz="8" w:color="CCECFF"/>
              <w:bottom w:val="single" w:sz="8" w:color="CCECFF"/>
            </w:tcBorders>
            <w:shd w:val="clear" w:color="auto" w:fill="CCECFF"/>
          </w:tcPr>
          <w:p>
            <w:pPr>
              <w:spacing w:after="0"/>
              <w:rPr>
                <w:sz w:val="21"/>
                <w:szCs w:val="21"/>
                <w:color w:val="auto"/>
              </w:rPr>
            </w:pPr>
          </w:p>
        </w:tc>
        <w:tc>
          <w:tcPr>
            <w:tcW w:w="280" w:type="dxa"/>
            <w:vAlign w:val="bottom"/>
            <w:tcBorders>
              <w:top w:val="single" w:sz="8" w:color="auto"/>
              <w:bottom w:val="single" w:sz="8" w:color="auto"/>
            </w:tcBorders>
            <w:shd w:val="clear" w:color="auto" w:fill="CCEC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280" w:type="dxa"/>
            <w:vAlign w:val="bottom"/>
            <w:tcBorders>
              <w:top w:val="single" w:sz="8" w:color="CCECFF"/>
              <w:bottom w:val="single" w:sz="8" w:color="CCECFF"/>
            </w:tcBorders>
            <w:shd w:val="clear" w:color="auto" w:fill="CCECFF"/>
          </w:tcPr>
          <w:p>
            <w:pPr>
              <w:spacing w:after="0"/>
              <w:rPr>
                <w:sz w:val="21"/>
                <w:szCs w:val="21"/>
                <w:color w:val="auto"/>
              </w:rPr>
            </w:pPr>
          </w:p>
        </w:tc>
        <w:tc>
          <w:tcPr>
            <w:tcW w:w="1400" w:type="dxa"/>
            <w:vAlign w:val="bottom"/>
            <w:tcBorders>
              <w:top w:val="single" w:sz="8" w:color="CCECFF"/>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40" w:type="dxa"/>
            <w:vAlign w:val="bottom"/>
            <w:tcBorders>
              <w:top w:val="single" w:sz="8" w:color="CCECFF"/>
              <w:bottom w:val="single" w:sz="8" w:color="CCECFF"/>
            </w:tcBorders>
            <w:shd w:val="clear" w:color="auto" w:fill="CCEC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88"/>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Segment Adjusted EBITDA </w:t>
            </w:r>
            <w:r>
              <w:rPr>
                <w:rFonts w:ascii="Times New Roman" w:cs="Times New Roman" w:eastAsia="Times New Roman" w:hAnsi="Times New Roman"/>
                <w:sz w:val="24"/>
                <w:szCs w:val="24"/>
                <w:b w:val="1"/>
                <w:bCs w:val="1"/>
                <w:color w:val="auto"/>
                <w:vertAlign w:val="superscript"/>
              </w:rPr>
              <w:t>(3)</w:t>
            </w: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vMerge w:val="restart"/>
          </w:tcPr>
          <w:p>
            <w:pPr>
              <w:jc w:val="center"/>
              <w:ind w:left="334"/>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200" w:type="dxa"/>
            <w:vAlign w:val="bottom"/>
            <w:tcBorders>
              <w:top w:val="single" w:sz="8" w:color="auto"/>
            </w:tcBorders>
          </w:tcPr>
          <w:p>
            <w:pPr>
              <w:spacing w:after="0"/>
              <w:rPr>
                <w:sz w:val="19"/>
                <w:szCs w:val="19"/>
                <w:color w:val="auto"/>
              </w:rPr>
            </w:pPr>
          </w:p>
        </w:tc>
        <w:tc>
          <w:tcPr>
            <w:tcW w:w="3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2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Q3 2026</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Q3 2025</w:t>
            </w:r>
          </w:p>
        </w:tc>
        <w:tc>
          <w:tcPr>
            <w:tcW w:w="1400" w:type="dxa"/>
            <w:vAlign w:val="bottom"/>
          </w:tcPr>
          <w:p>
            <w:pPr>
              <w:jc w:val="center"/>
              <w:ind w:left="354"/>
              <w:spacing w:after="0"/>
              <w:rPr>
                <w:sz w:val="20"/>
                <w:szCs w:val="20"/>
                <w:color w:val="auto"/>
              </w:rPr>
            </w:pPr>
            <w:r>
              <w:rPr>
                <w:rFonts w:ascii="Times New Roman" w:cs="Times New Roman" w:eastAsia="Times New Roman" w:hAnsi="Times New Roman"/>
                <w:sz w:val="16"/>
                <w:szCs w:val="16"/>
                <w:b w:val="1"/>
                <w:bCs w:val="1"/>
                <w:color w:val="auto"/>
              </w:rPr>
              <w:t>YOY</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40" w:type="dxa"/>
            <w:vAlign w:val="bottom"/>
            <w:gridSpan w:val="2"/>
            <w:shd w:val="clear" w:color="auto" w:fill="CCECFF"/>
          </w:tcPr>
          <w:p>
            <w:pPr>
              <w:spacing w:after="0" w:line="212" w:lineRule="exact"/>
              <w:rPr>
                <w:sz w:val="20"/>
                <w:szCs w:val="20"/>
                <w:color w:val="auto"/>
              </w:rPr>
            </w:pPr>
            <w:r>
              <w:rPr>
                <w:rFonts w:ascii="Times New Roman" w:cs="Times New Roman" w:eastAsia="Times New Roman" w:hAnsi="Times New Roman"/>
                <w:sz w:val="18"/>
                <w:szCs w:val="18"/>
                <w:color w:val="auto"/>
              </w:rPr>
              <w:t xml:space="preserve">Aurora </w:t>
            </w:r>
            <w:r>
              <w:rPr>
                <w:rFonts w:ascii="Times New Roman" w:cs="Times New Roman" w:eastAsia="Times New Roman" w:hAnsi="Times New Roman"/>
                <w:sz w:val="24"/>
                <w:szCs w:val="24"/>
                <w:color w:val="auto"/>
                <w:vertAlign w:val="superscript"/>
              </w:rPr>
              <w:t>(1)</w:t>
            </w:r>
          </w:p>
        </w:tc>
        <w:tc>
          <w:tcPr>
            <w:tcW w:w="1060" w:type="dxa"/>
            <w:vAlign w:val="bottom"/>
            <w:tcBorders>
              <w:top w:val="single" w:sz="8" w:color="auto"/>
            </w:tcBorders>
            <w:shd w:val="clear" w:color="auto" w:fill="CCECFF"/>
          </w:tcPr>
          <w:p>
            <w:pPr>
              <w:jc w:val="right"/>
              <w:ind w:right="897"/>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340" w:type="dxa"/>
            <w:vAlign w:val="bottom"/>
            <w:shd w:val="clear" w:color="auto" w:fill="CCECFF"/>
          </w:tcPr>
          <w:p>
            <w:pPr>
              <w:spacing w:after="0"/>
              <w:rPr>
                <w:sz w:val="18"/>
                <w:szCs w:val="18"/>
                <w:color w:val="auto"/>
              </w:rPr>
            </w:pPr>
          </w:p>
        </w:tc>
        <w:tc>
          <w:tcPr>
            <w:tcW w:w="280" w:type="dxa"/>
            <w:vAlign w:val="bottom"/>
            <w:tcBorders>
              <w:top w:val="single" w:sz="8" w:color="auto"/>
            </w:tcBorders>
            <w:shd w:val="clear" w:color="auto" w:fill="CCEC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80" w:type="dxa"/>
            <w:vAlign w:val="bottom"/>
            <w:shd w:val="clear" w:color="auto" w:fill="CCECFF"/>
          </w:tcPr>
          <w:p>
            <w:pPr>
              <w:spacing w:after="0"/>
              <w:rPr>
                <w:sz w:val="18"/>
                <w:szCs w:val="18"/>
                <w:color w:val="auto"/>
              </w:rPr>
            </w:pPr>
          </w:p>
        </w:tc>
        <w:tc>
          <w:tcPr>
            <w:tcW w:w="1400" w:type="dxa"/>
            <w:vAlign w:val="bottom"/>
            <w:tcBorders>
              <w:top w:val="single" w:sz="8" w:color="auto"/>
            </w:tcBorders>
            <w:shd w:val="clear" w:color="auto" w:fill="CCECFF"/>
          </w:tcPr>
          <w:p>
            <w:pPr>
              <w:jc w:val="right"/>
              <w:ind w:right="34"/>
              <w:spacing w:after="0"/>
              <w:rPr>
                <w:sz w:val="20"/>
                <w:szCs w:val="20"/>
                <w:color w:val="auto"/>
              </w:rPr>
            </w:pPr>
            <w:r>
              <w:rPr>
                <w:rFonts w:ascii="Times New Roman" w:cs="Times New Roman" w:eastAsia="Times New Roman" w:hAnsi="Times New Roman"/>
                <w:sz w:val="18"/>
                <w:szCs w:val="18"/>
                <w:color w:val="auto"/>
              </w:rPr>
              <w:t>5.0</w:t>
            </w:r>
          </w:p>
        </w:tc>
        <w:tc>
          <w:tcPr>
            <w:tcW w:w="440" w:type="dxa"/>
            <w:vAlign w:val="bottom"/>
            <w:tcBorders>
              <w:top w:val="single" w:sz="8" w:color="auto"/>
            </w:tcBorders>
            <w:shd w:val="clear" w:color="auto" w:fill="CCEC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24"/>
                <w:szCs w:val="24"/>
                <w:color w:val="auto"/>
                <w:vertAlign w:val="superscript"/>
              </w:rPr>
              <w:t>(4)</w:t>
            </w:r>
          </w:p>
        </w:tc>
        <w:tc>
          <w:tcPr>
            <w:tcW w:w="10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(29.3)</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740" w:type="dxa"/>
            <w:vAlign w:val="bottom"/>
            <w:tcBorders>
              <w:bottom w:val="single" w:sz="8" w:color="CCECFF"/>
            </w:tcBorders>
            <w:gridSpan w:val="2"/>
            <w:shd w:val="clear" w:color="auto" w:fill="CCECFF"/>
          </w:tcPr>
          <w:p>
            <w:pPr>
              <w:spacing w:after="0"/>
              <w:rPr>
                <w:sz w:val="20"/>
                <w:szCs w:val="20"/>
                <w:color w:val="auto"/>
              </w:rPr>
            </w:pPr>
            <w:r>
              <w:rPr>
                <w:rFonts w:ascii="Times New Roman" w:cs="Times New Roman" w:eastAsia="Times New Roman" w:hAnsi="Times New Roman"/>
                <w:sz w:val="18"/>
                <w:szCs w:val="18"/>
                <w:b w:val="1"/>
                <w:bCs w:val="1"/>
                <w:color w:val="auto"/>
              </w:rPr>
              <w:t>Total segment adjusted EBITDA</w:t>
            </w:r>
          </w:p>
        </w:tc>
        <w:tc>
          <w:tcPr>
            <w:tcW w:w="1060" w:type="dxa"/>
            <w:vAlign w:val="bottom"/>
            <w:tcBorders>
              <w:top w:val="single" w:sz="8" w:color="auto"/>
              <w:bottom w:val="single" w:sz="8" w:color="auto"/>
            </w:tcBorders>
            <w:shd w:val="clear" w:color="auto" w:fill="CCECFF"/>
          </w:tcPr>
          <w:p>
            <w:pPr>
              <w:jc w:val="right"/>
              <w:ind w:right="897"/>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340" w:type="dxa"/>
            <w:vAlign w:val="bottom"/>
            <w:tcBorders>
              <w:bottom w:val="single" w:sz="8" w:color="CCECFF"/>
            </w:tcBorders>
            <w:shd w:val="clear" w:color="auto" w:fill="CCECFF"/>
          </w:tcPr>
          <w:p>
            <w:pPr>
              <w:spacing w:after="0"/>
              <w:rPr>
                <w:sz w:val="21"/>
                <w:szCs w:val="21"/>
                <w:color w:val="auto"/>
              </w:rPr>
            </w:pPr>
          </w:p>
        </w:tc>
        <w:tc>
          <w:tcPr>
            <w:tcW w:w="280" w:type="dxa"/>
            <w:vAlign w:val="bottom"/>
            <w:tcBorders>
              <w:top w:val="single" w:sz="8" w:color="auto"/>
              <w:bottom w:val="single" w:sz="8" w:color="auto"/>
            </w:tcBorders>
            <w:shd w:val="clear" w:color="auto" w:fill="CCEC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80" w:type="dxa"/>
            <w:vAlign w:val="bottom"/>
            <w:tcBorders>
              <w:bottom w:val="single" w:sz="8" w:color="CCECFF"/>
            </w:tcBorders>
            <w:shd w:val="clear" w:color="auto" w:fill="CCECFF"/>
          </w:tcPr>
          <w:p>
            <w:pPr>
              <w:spacing w:after="0"/>
              <w:rPr>
                <w:sz w:val="21"/>
                <w:szCs w:val="21"/>
                <w:color w:val="auto"/>
              </w:rPr>
            </w:pPr>
          </w:p>
        </w:tc>
        <w:tc>
          <w:tcPr>
            <w:tcW w:w="1400" w:type="dxa"/>
            <w:vAlign w:val="bottom"/>
            <w:tcBorders>
              <w:bottom w:val="single" w:sz="8" w:color="CCECFF"/>
            </w:tcBorders>
            <w:shd w:val="clear" w:color="auto" w:fill="CCECFF"/>
          </w:tcPr>
          <w:p>
            <w:pPr>
              <w:jc w:val="right"/>
              <w:ind w:right="34"/>
              <w:spacing w:after="0"/>
              <w:rPr>
                <w:sz w:val="20"/>
                <w:szCs w:val="20"/>
                <w:color w:val="auto"/>
              </w:rPr>
            </w:pPr>
            <w:r>
              <w:rPr>
                <w:rFonts w:ascii="Times New Roman" w:cs="Times New Roman" w:eastAsia="Times New Roman" w:hAnsi="Times New Roman"/>
                <w:sz w:val="18"/>
                <w:szCs w:val="18"/>
                <w:color w:val="auto"/>
              </w:rPr>
              <w:t>128.2</w:t>
            </w:r>
          </w:p>
        </w:tc>
        <w:tc>
          <w:tcPr>
            <w:tcW w:w="440" w:type="dxa"/>
            <w:vAlign w:val="bottom"/>
            <w:tcBorders>
              <w:bottom w:val="single" w:sz="8" w:color="CCECFF"/>
            </w:tcBorders>
            <w:shd w:val="clear" w:color="auto" w:fill="CCEC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-1156970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-1139825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-1302385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-1156970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-1139825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-1302385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-25400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-8255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-25400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-8255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ind w:right="240" w:firstLine="8"/>
        <w:spacing w:after="0" w:line="261"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results of Aurora, our reportable segment, which represent substantially all of our net sales and exclude general corporate costs that were previously allocated to the divested RUCKUS and CCS segments because they were not directly attributable to the divested segments.</w:t>
      </w:r>
    </w:p>
    <w:p>
      <w:pPr>
        <w:ind w:right="20" w:firstLine="8"/>
        <w:spacing w:after="0" w:line="250"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certain revenues reflected within continuing operations related to products associated with businesses affected by prior divestiture transactions. Such amounts continue to be reported within continuing operations based on the terms of the underlying transactions.</w:t>
      </w: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“Non-GAAP Financial Measures” above.</w:t>
      </w:r>
    </w:p>
    <w:p>
      <w:pPr>
        <w:spacing w:after="0" w:line="9" w:lineRule="exact"/>
        <w:rPr>
          <w:rFonts w:ascii="Times New Roman" w:cs="Times New Roman" w:eastAsia="Times New Roman" w:hAnsi="Times New Roman"/>
          <w:sz w:val="18"/>
          <w:szCs w:val="18"/>
          <w:color w:val="auto"/>
        </w:rPr>
      </w:pPr>
    </w:p>
    <w:p>
      <w:pPr>
        <w:jc w:val="both"/>
        <w:ind w:right="140" w:firstLine="8"/>
        <w:spacing w:after="0" w:line="253"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reflects general corporate costs that were previously allocated to the divested RUCKUS and CCS segments. These indirect expenses have been classified as continuing operations because they were not directly attributable to the divested segments. The costs previously allocated to the CCS segment were reallocated to our remaining segments and partially offset by income under the Amphenol transition service agreement (TSA) beginning in the first quarter of 2026. Beginning in the third quarter of 2026, the costs previously allocated to the RUCKUS segment were reallocated to our remaining segment and partially offset by income under the Belden TSA.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803275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 w:name="page16"/>
    <w:bookmarkEnd w:id="15"/>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Reconciliation of GAAP to Segment Adjusted EBITDA</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(Unaudited -- In millions)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Third Quarter 2026 Segment Adjusted EBITDA Reconciliation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Corporate and</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48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Aurora</w:t>
            </w:r>
          </w:p>
        </w:tc>
        <w:tc>
          <w:tcPr>
            <w:tcW w:w="3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 xml:space="preserve">other </w:t>
            </w:r>
            <w:r>
              <w:rPr>
                <w:rFonts w:ascii="Times New Roman" w:cs="Times New Roman" w:eastAsia="Times New Roman" w:hAnsi="Times New Roman"/>
                <w:sz w:val="21"/>
                <w:szCs w:val="21"/>
                <w:b w:val="1"/>
                <w:bCs w:val="1"/>
                <w:color w:val="auto"/>
                <w:vertAlign w:val="superscript"/>
              </w:rPr>
              <w:t>(1)</w:t>
            </w:r>
          </w:p>
        </w:tc>
        <w:tc>
          <w:tcPr>
            <w:tcW w:w="22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9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8"/>
                <w:szCs w:val="18"/>
                <w:b w:val="1"/>
                <w:bCs w:val="1"/>
                <w:color w:val="auto"/>
              </w:rPr>
              <w:t>Operating income (loss), as reported</w:t>
            </w:r>
          </w:p>
        </w:tc>
        <w:tc>
          <w:tcPr>
            <w:tcW w:w="24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CFF"/>
          </w:tcPr>
          <w:p>
            <w:pPr>
              <w:spacing w:after="0"/>
              <w:rPr>
                <w:sz w:val="18"/>
                <w:szCs w:val="18"/>
                <w:color w:val="auto"/>
              </w:rPr>
            </w:pPr>
          </w:p>
        </w:tc>
        <w:tc>
          <w:tcPr>
            <w:tcW w:w="6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23.0</w:t>
            </w:r>
          </w:p>
        </w:tc>
        <w:tc>
          <w:tcPr>
            <w:tcW w:w="1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(0.1)</w:t>
            </w:r>
          </w:p>
        </w:tc>
        <w:tc>
          <w:tcPr>
            <w:tcW w:w="140" w:type="dxa"/>
            <w:vAlign w:val="bottom"/>
            <w:shd w:val="clear" w:color="auto" w:fill="CCECFF"/>
          </w:tcPr>
          <w:p>
            <w:pPr>
              <w:spacing w:after="0"/>
              <w:rPr>
                <w:sz w:val="18"/>
                <w:szCs w:val="18"/>
                <w:color w:val="auto"/>
              </w:rPr>
            </w:pPr>
          </w:p>
        </w:tc>
        <w:tc>
          <w:tcPr>
            <w:tcW w:w="4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22.9</w:t>
            </w:r>
          </w:p>
        </w:tc>
        <w:tc>
          <w:tcPr>
            <w:tcW w:w="2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8"/>
                <w:szCs w:val="18"/>
                <w:color w:val="auto"/>
              </w:rPr>
              <w:t>Restructuring costs, net</w:t>
            </w:r>
          </w:p>
        </w:tc>
        <w:tc>
          <w:tcPr>
            <w:tcW w:w="240" w:type="dxa"/>
            <w:vAlign w:val="bottom"/>
            <w:shd w:val="clear" w:color="auto" w:fill="CCECFF"/>
          </w:tcPr>
          <w:p>
            <w:pPr>
              <w:spacing w:after="0"/>
              <w:rPr>
                <w:sz w:val="18"/>
                <w:szCs w:val="18"/>
                <w:color w:val="auto"/>
              </w:rPr>
            </w:pPr>
          </w:p>
        </w:tc>
        <w:tc>
          <w:tcPr>
            <w:tcW w:w="920" w:type="dxa"/>
            <w:vAlign w:val="bottom"/>
            <w:shd w:val="clear" w:color="auto" w:fill="CCECFF"/>
          </w:tcPr>
          <w:p>
            <w:pPr>
              <w:spacing w:after="0"/>
              <w:rPr>
                <w:sz w:val="18"/>
                <w:szCs w:val="18"/>
                <w:color w:val="auto"/>
              </w:rPr>
            </w:pPr>
          </w:p>
        </w:tc>
        <w:tc>
          <w:tcPr>
            <w:tcW w:w="6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440" w:type="dxa"/>
            <w:vAlign w:val="bottom"/>
            <w:gridSpan w:val="3"/>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CFF"/>
            </w:tcBorders>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8"/>
                <w:szCs w:val="18"/>
                <w:color w:val="auto"/>
              </w:rPr>
              <w:t>Transaction, transformation and integration costs</w:t>
            </w:r>
          </w:p>
        </w:tc>
        <w:tc>
          <w:tcPr>
            <w:tcW w:w="240" w:type="dxa"/>
            <w:vAlign w:val="bottom"/>
            <w:shd w:val="clear" w:color="auto" w:fill="CCECFF"/>
          </w:tcPr>
          <w:p>
            <w:pPr>
              <w:spacing w:after="0"/>
              <w:rPr>
                <w:sz w:val="18"/>
                <w:szCs w:val="18"/>
                <w:color w:val="auto"/>
              </w:rPr>
            </w:pPr>
          </w:p>
        </w:tc>
        <w:tc>
          <w:tcPr>
            <w:tcW w:w="920" w:type="dxa"/>
            <w:vAlign w:val="bottom"/>
            <w:shd w:val="clear" w:color="auto" w:fill="CCECFF"/>
          </w:tcPr>
          <w:p>
            <w:pPr>
              <w:spacing w:after="0"/>
              <w:rPr>
                <w:sz w:val="18"/>
                <w:szCs w:val="18"/>
                <w:color w:val="auto"/>
              </w:rPr>
            </w:pPr>
          </w:p>
        </w:tc>
        <w:tc>
          <w:tcPr>
            <w:tcW w:w="6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440" w:type="dxa"/>
            <w:vAlign w:val="bottom"/>
            <w:gridSpan w:val="3"/>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CFF"/>
            </w:tcBorders>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8"/>
                <w:szCs w:val="18"/>
                <w:b w:val="1"/>
                <w:bCs w:val="1"/>
                <w:color w:val="auto"/>
              </w:rPr>
              <w:t>Segment adjusted EBITDA</w:t>
            </w:r>
          </w:p>
        </w:tc>
        <w:tc>
          <w:tcPr>
            <w:tcW w:w="24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CFF"/>
          </w:tcPr>
          <w:p>
            <w:pPr>
              <w:spacing w:after="0"/>
              <w:rPr>
                <w:sz w:val="18"/>
                <w:szCs w:val="18"/>
                <w:color w:val="auto"/>
              </w:rPr>
            </w:pPr>
          </w:p>
        </w:tc>
        <w:tc>
          <w:tcPr>
            <w:tcW w:w="6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56.8</w:t>
            </w:r>
          </w:p>
        </w:tc>
        <w:tc>
          <w:tcPr>
            <w:tcW w:w="1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3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(0.2)</w:t>
            </w:r>
          </w:p>
        </w:tc>
        <w:tc>
          <w:tcPr>
            <w:tcW w:w="140" w:type="dxa"/>
            <w:vAlign w:val="bottom"/>
            <w:shd w:val="clear" w:color="auto" w:fill="CCECFF"/>
          </w:tcPr>
          <w:p>
            <w:pPr>
              <w:spacing w:after="0"/>
              <w:rPr>
                <w:sz w:val="18"/>
                <w:szCs w:val="18"/>
                <w:color w:val="auto"/>
              </w:rPr>
            </w:pPr>
          </w:p>
        </w:tc>
        <w:tc>
          <w:tcPr>
            <w:tcW w:w="4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56.6</w:t>
            </w:r>
          </w:p>
        </w:tc>
        <w:tc>
          <w:tcPr>
            <w:tcW w:w="2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Segment adjusted EBITDA % of sales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17.8%</w:t>
            </w:r>
          </w:p>
        </w:tc>
        <w:tc>
          <w:tcPr>
            <w:tcW w:w="100" w:type="dxa"/>
            <w:vAlign w:val="bottom"/>
          </w:tcPr>
          <w:p>
            <w:pPr>
              <w:spacing w:after="0"/>
              <w:rPr>
                <w:sz w:val="20"/>
                <w:szCs w:val="20"/>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NM</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17.7%</w:t>
            </w:r>
          </w:p>
        </w:tc>
        <w:tc>
          <w:tcPr>
            <w:tcW w:w="0" w:type="dxa"/>
            <w:vAlign w:val="bottom"/>
          </w:tcPr>
          <w:p>
            <w:pPr>
              <w:spacing w:after="0"/>
              <w:rPr>
                <w:sz w:val="1"/>
                <w:szCs w:val="1"/>
                <w:color w:val="auto"/>
              </w:rPr>
            </w:pPr>
          </w:p>
        </w:tc>
      </w:tr>
      <w:tr>
        <w:trPr>
          <w:trHeight w:val="639"/>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Third Quarter 2025 Segment Adjusted EBITDA Reconciliation</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4"/>
            <w:vMerge w:val="restart"/>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Corporate and</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860" w:type="dxa"/>
            <w:vAlign w:val="bottom"/>
            <w:tcBorders>
              <w:top w:val="single" w:sz="8" w:color="auto"/>
            </w:tcBorders>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48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Aurora</w:t>
            </w:r>
          </w:p>
        </w:tc>
        <w:tc>
          <w:tcPr>
            <w:tcW w:w="3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 xml:space="preserve">other </w:t>
            </w:r>
            <w:r>
              <w:rPr>
                <w:rFonts w:ascii="Times New Roman" w:cs="Times New Roman" w:eastAsia="Times New Roman" w:hAnsi="Times New Roman"/>
                <w:sz w:val="21"/>
                <w:szCs w:val="21"/>
                <w:b w:val="1"/>
                <w:bCs w:val="1"/>
                <w:color w:val="auto"/>
                <w:vertAlign w:val="superscript"/>
              </w:rPr>
              <w:t>(1)</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9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8"/>
                <w:szCs w:val="18"/>
                <w:b w:val="1"/>
                <w:bCs w:val="1"/>
                <w:color w:val="auto"/>
              </w:rPr>
              <w:t>Operating income (loss), as reported</w:t>
            </w:r>
          </w:p>
        </w:tc>
        <w:tc>
          <w:tcPr>
            <w:tcW w:w="1160" w:type="dxa"/>
            <w:vAlign w:val="bottom"/>
            <w:gridSpan w:val="2"/>
            <w:shd w:val="clear" w:color="auto" w:fill="CCECFF"/>
          </w:tcPr>
          <w:p>
            <w:pPr>
              <w:jc w:val="right"/>
              <w:ind w:right="759"/>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25.5</w:t>
            </w:r>
          </w:p>
        </w:tc>
        <w:tc>
          <w:tcPr>
            <w:tcW w:w="240" w:type="dxa"/>
            <w:vAlign w:val="bottom"/>
            <w:shd w:val="clear" w:color="auto" w:fill="CCECFF"/>
          </w:tcPr>
          <w:p>
            <w:pPr>
              <w:spacing w:after="0"/>
              <w:rPr>
                <w:sz w:val="18"/>
                <w:szCs w:val="18"/>
                <w:color w:val="auto"/>
              </w:rPr>
            </w:pPr>
          </w:p>
        </w:tc>
        <w:tc>
          <w:tcPr>
            <w:tcW w:w="4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CFF"/>
          </w:tcPr>
          <w:p>
            <w:pPr>
              <w:spacing w:after="0"/>
              <w:rPr>
                <w:sz w:val="18"/>
                <w:szCs w:val="18"/>
                <w:color w:val="auto"/>
              </w:rPr>
            </w:pPr>
          </w:p>
        </w:tc>
        <w:tc>
          <w:tcPr>
            <w:tcW w:w="1440" w:type="dxa"/>
            <w:vAlign w:val="bottom"/>
            <w:gridSpan w:val="3"/>
            <w:shd w:val="clear" w:color="auto" w:fill="CCEC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(37.0)</w:t>
            </w:r>
          </w:p>
        </w:tc>
        <w:tc>
          <w:tcPr>
            <w:tcW w:w="4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(11.5)</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8"/>
                <w:szCs w:val="18"/>
                <w:color w:val="auto"/>
              </w:rPr>
              <w:t>Restructuring costs, net</w:t>
            </w:r>
          </w:p>
        </w:tc>
        <w:tc>
          <w:tcPr>
            <w:tcW w:w="240" w:type="dxa"/>
            <w:vAlign w:val="bottom"/>
            <w:shd w:val="clear" w:color="auto" w:fill="CCECFF"/>
          </w:tcPr>
          <w:p>
            <w:pPr>
              <w:spacing w:after="0"/>
              <w:rPr>
                <w:sz w:val="18"/>
                <w:szCs w:val="18"/>
                <w:color w:val="auto"/>
              </w:rPr>
            </w:pPr>
          </w:p>
        </w:tc>
        <w:tc>
          <w:tcPr>
            <w:tcW w:w="920" w:type="dxa"/>
            <w:vAlign w:val="bottom"/>
            <w:shd w:val="clear" w:color="auto" w:fill="CCECFF"/>
          </w:tcPr>
          <w:p>
            <w:pPr>
              <w:spacing w:after="0"/>
              <w:rPr>
                <w:sz w:val="18"/>
                <w:szCs w:val="18"/>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3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CFF"/>
          </w:tcPr>
          <w:p>
            <w:pPr>
              <w:spacing w:after="0"/>
              <w:rPr>
                <w:sz w:val="18"/>
                <w:szCs w:val="18"/>
                <w:color w:val="auto"/>
              </w:rPr>
            </w:pPr>
          </w:p>
        </w:tc>
        <w:tc>
          <w:tcPr>
            <w:tcW w:w="160" w:type="dxa"/>
            <w:vAlign w:val="bottom"/>
            <w:tcBorders>
              <w:right w:val="single" w:sz="8" w:color="CCECFF"/>
            </w:tcBorders>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8"/>
                <w:szCs w:val="18"/>
                <w:color w:val="auto"/>
              </w:rPr>
              <w:t>Transaction, transformation and integration costs</w:t>
            </w:r>
          </w:p>
        </w:tc>
        <w:tc>
          <w:tcPr>
            <w:tcW w:w="240" w:type="dxa"/>
            <w:vAlign w:val="bottom"/>
            <w:shd w:val="clear" w:color="auto" w:fill="CCECFF"/>
          </w:tcPr>
          <w:p>
            <w:pPr>
              <w:spacing w:after="0"/>
              <w:rPr>
                <w:sz w:val="18"/>
                <w:szCs w:val="18"/>
                <w:color w:val="auto"/>
              </w:rPr>
            </w:pPr>
          </w:p>
        </w:tc>
        <w:tc>
          <w:tcPr>
            <w:tcW w:w="920" w:type="dxa"/>
            <w:vAlign w:val="bottom"/>
            <w:shd w:val="clear" w:color="auto" w:fill="CCECFF"/>
          </w:tcPr>
          <w:p>
            <w:pPr>
              <w:spacing w:after="0"/>
              <w:rPr>
                <w:sz w:val="18"/>
                <w:szCs w:val="18"/>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3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CFF"/>
          </w:tcPr>
          <w:p>
            <w:pPr>
              <w:spacing w:after="0"/>
              <w:rPr>
                <w:sz w:val="18"/>
                <w:szCs w:val="18"/>
                <w:color w:val="auto"/>
              </w:rPr>
            </w:pPr>
          </w:p>
        </w:tc>
        <w:tc>
          <w:tcPr>
            <w:tcW w:w="160" w:type="dxa"/>
            <w:vAlign w:val="bottom"/>
            <w:tcBorders>
              <w:right w:val="single" w:sz="8" w:color="CCECFF"/>
            </w:tcBorders>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CFF"/>
          </w:tcPr>
          <w:p>
            <w:pPr>
              <w:spacing w:after="0"/>
              <w:rPr>
                <w:sz w:val="18"/>
                <w:szCs w:val="18"/>
                <w:color w:val="auto"/>
              </w:rPr>
            </w:pPr>
          </w:p>
        </w:tc>
        <w:tc>
          <w:tcPr>
            <w:tcW w:w="920" w:type="dxa"/>
            <w:vAlign w:val="bottom"/>
            <w:shd w:val="clear" w:color="auto" w:fill="CCECFF"/>
          </w:tcPr>
          <w:p>
            <w:pPr>
              <w:spacing w:after="0"/>
              <w:rPr>
                <w:sz w:val="18"/>
                <w:szCs w:val="18"/>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440" w:type="dxa"/>
            <w:vAlign w:val="bottom"/>
            <w:gridSpan w:val="3"/>
            <w:shd w:val="clear" w:color="auto" w:fill="CCECFF"/>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Borders>
              <w:right w:val="single" w:sz="8" w:color="CCECFF"/>
            </w:tcBorders>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2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4860" w:type="dxa"/>
            <w:vAlign w:val="bottom"/>
            <w:shd w:val="clear" w:color="auto" w:fill="CCECFF"/>
          </w:tcPr>
          <w:p>
            <w:pPr>
              <w:spacing w:after="0" w:line="20" w:lineRule="exact"/>
              <w:rPr>
                <w:sz w:val="1"/>
                <w:szCs w:val="1"/>
                <w:color w:val="auto"/>
              </w:rPr>
            </w:pPr>
          </w:p>
        </w:tc>
        <w:tc>
          <w:tcPr>
            <w:tcW w:w="1060" w:type="dxa"/>
            <w:vAlign w:val="bottom"/>
            <w:shd w:val="clear" w:color="auto" w:fill="CCECFF"/>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160" w:type="dxa"/>
            <w:vAlign w:val="bottom"/>
            <w:tcBorders>
              <w:right w:val="single" w:sz="8" w:color="CCECFF"/>
            </w:tcBorders>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Segment adjusted EBITDA</w:t>
            </w:r>
          </w:p>
        </w:tc>
        <w:tc>
          <w:tcPr>
            <w:tcW w:w="1160" w:type="dxa"/>
            <w:vAlign w:val="bottom"/>
            <w:gridSpan w:val="2"/>
          </w:tcPr>
          <w:p>
            <w:pPr>
              <w:jc w:val="right"/>
              <w:ind w:right="759"/>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54.1</w:t>
            </w:r>
          </w:p>
        </w:tc>
        <w:tc>
          <w:tcPr>
            <w:tcW w:w="24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4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(29.3)</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8"/>
                <w:szCs w:val="18"/>
                <w:b w:val="1"/>
                <w:bCs w:val="1"/>
                <w:color w:val="auto"/>
              </w:rPr>
              <w:t>Segment adjusted EBITDA % of sales</w:t>
            </w:r>
          </w:p>
        </w:tc>
        <w:tc>
          <w:tcPr>
            <w:tcW w:w="240" w:type="dxa"/>
            <w:vAlign w:val="bottom"/>
            <w:shd w:val="clear" w:color="auto" w:fill="CCECFF"/>
          </w:tcPr>
          <w:p>
            <w:pPr>
              <w:spacing w:after="0"/>
              <w:rPr>
                <w:sz w:val="18"/>
                <w:szCs w:val="18"/>
                <w:color w:val="auto"/>
              </w:rPr>
            </w:pPr>
          </w:p>
        </w:tc>
        <w:tc>
          <w:tcPr>
            <w:tcW w:w="920" w:type="dxa"/>
            <w:vAlign w:val="bottom"/>
            <w:shd w:val="clear" w:color="auto" w:fill="CCECFF"/>
          </w:tcPr>
          <w:p>
            <w:pPr>
              <w:spacing w:after="0"/>
              <w:rPr>
                <w:sz w:val="18"/>
                <w:szCs w:val="18"/>
                <w:color w:val="auto"/>
              </w:rPr>
            </w:pPr>
          </w:p>
        </w:tc>
        <w:tc>
          <w:tcPr>
            <w:tcW w:w="6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16.0%</w:t>
            </w:r>
          </w:p>
        </w:tc>
        <w:tc>
          <w:tcPr>
            <w:tcW w:w="1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44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NM</w:t>
            </w:r>
          </w:p>
        </w:tc>
        <w:tc>
          <w:tcPr>
            <w:tcW w:w="160" w:type="dxa"/>
            <w:vAlign w:val="bottom"/>
            <w:tcBorders>
              <w:right w:val="single" w:sz="8" w:color="CCECFF"/>
            </w:tcBorders>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22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-281940</wp:posOffset>
            </wp:positionV>
            <wp:extent cx="12890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-281940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-281940</wp:posOffset>
            </wp:positionV>
            <wp:extent cx="12890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78" w:lineRule="exact"/>
        <w:rPr>
          <w:sz w:val="20"/>
          <w:szCs w:val="20"/>
          <w:color w:val="auto"/>
        </w:rPr>
      </w:pPr>
    </w:p>
    <w:p>
      <w:pPr>
        <w:ind w:right="240" w:firstLine="8"/>
        <w:spacing w:after="0" w:line="258"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and other category above primarily reflects general corporate costs that were previously allocated to the divested RUCKUS and CCS segments. These indirect expenses have been classified as continuing operations because they were not directly attributable to the divested segments. The costs previously allocated to the CCS segment were reallocated to our remaining segments and partially offset by income under the Amphenol TSA beginning in the first quarter of 2026. Beginning in the third quarter of 2026, the costs previously allocated to the RUCKUS segment were reallocated to our remaining segment and partially offset by income under the Belden TSA.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may not sum to total due to rounding.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“Non-GAAP Financial Measures”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6" w:name="page17"/>
    <w:bookmarkEnd w:id="16"/>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Free Cash Flow</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(Unaudited -- In millions)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Free Cash Flow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4"/>
          <w:szCs w:val="24"/>
          <w:b w:val="1"/>
          <w:bCs w:val="1"/>
          <w:color w:val="auto"/>
          <w:vertAlign w:val="superscript"/>
        </w:rPr>
        <w:t>(1)</w:t>
      </w:r>
    </w:p>
    <w:tbl>
      <w:tblPr>
        <w:tblLayout w:type="fixed"/>
        <w:tblInd w:w="0" w:type="dxa"/>
        <w:tblCellMar>
          <w:top w:w="0" w:type="dxa"/>
          <w:left w:w="0" w:type="dxa"/>
          <w:bottom w:w="0" w:type="dxa"/>
          <w:right w:w="0" w:type="dxa"/>
        </w:tblCellMar>
      </w:tblPr>
      <w:tr>
        <w:trPr>
          <w:trHeight w:val="183"/>
        </w:trPr>
        <w:tc>
          <w:tcPr>
            <w:tcW w:w="2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jc w:val="center"/>
              <w:ind w:left="359"/>
              <w:spacing w:after="0" w:line="183" w:lineRule="exact"/>
              <w:rPr>
                <w:sz w:val="20"/>
                <w:szCs w:val="20"/>
                <w:color w:val="auto"/>
              </w:rPr>
            </w:pPr>
            <w:r>
              <w:rPr>
                <w:rFonts w:ascii="Times New Roman" w:cs="Times New Roman" w:eastAsia="Times New Roman" w:hAnsi="Times New Roman"/>
                <w:sz w:val="16"/>
                <w:szCs w:val="16"/>
                <w:b w:val="1"/>
                <w:bCs w:val="1"/>
                <w:color w:val="auto"/>
                <w:w w:val="97"/>
              </w:rPr>
              <w:t>Q3</w:t>
            </w: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center"/>
              <w:ind w:left="379"/>
              <w:spacing w:after="0" w:line="183" w:lineRule="exact"/>
              <w:rPr>
                <w:sz w:val="20"/>
                <w:szCs w:val="20"/>
                <w:color w:val="auto"/>
              </w:rPr>
            </w:pPr>
            <w:r>
              <w:rPr>
                <w:rFonts w:ascii="Times New Roman" w:cs="Times New Roman" w:eastAsia="Times New Roman" w:hAnsi="Times New Roman"/>
                <w:sz w:val="16"/>
                <w:szCs w:val="16"/>
                <w:b w:val="1"/>
                <w:bCs w:val="1"/>
                <w:color w:val="auto"/>
              </w:rPr>
              <w:t>Q4</w:t>
            </w: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2"/>
          </w:tcPr>
          <w:p>
            <w:pPr>
              <w:jc w:val="center"/>
              <w:ind w:right="580"/>
              <w:spacing w:after="0" w:line="183" w:lineRule="exact"/>
              <w:rPr>
                <w:sz w:val="20"/>
                <w:szCs w:val="20"/>
                <w:color w:val="auto"/>
              </w:rPr>
            </w:pPr>
            <w:r>
              <w:rPr>
                <w:rFonts w:ascii="Times New Roman" w:cs="Times New Roman" w:eastAsia="Times New Roman" w:hAnsi="Times New Roman"/>
                <w:sz w:val="16"/>
                <w:szCs w:val="16"/>
                <w:b w:val="1"/>
                <w:bCs w:val="1"/>
                <w:color w:val="auto"/>
                <w:w w:val="97"/>
              </w:rPr>
              <w:t>Q1</w:t>
            </w:r>
          </w:p>
        </w:tc>
        <w:tc>
          <w:tcPr>
            <w:tcW w:w="280" w:type="dxa"/>
            <w:vAlign w:val="bottom"/>
          </w:tcPr>
          <w:p>
            <w:pPr>
              <w:spacing w:after="0"/>
              <w:rPr>
                <w:sz w:val="15"/>
                <w:szCs w:val="15"/>
                <w:color w:val="auto"/>
              </w:rPr>
            </w:pPr>
          </w:p>
        </w:tc>
        <w:tc>
          <w:tcPr>
            <w:tcW w:w="1100" w:type="dxa"/>
            <w:vAlign w:val="bottom"/>
            <w:gridSpan w:val="2"/>
          </w:tcPr>
          <w:p>
            <w:pPr>
              <w:jc w:val="center"/>
              <w:ind w:right="380"/>
              <w:spacing w:after="0" w:line="183" w:lineRule="exact"/>
              <w:rPr>
                <w:sz w:val="20"/>
                <w:szCs w:val="20"/>
                <w:color w:val="auto"/>
              </w:rPr>
            </w:pPr>
            <w:r>
              <w:rPr>
                <w:rFonts w:ascii="Times New Roman" w:cs="Times New Roman" w:eastAsia="Times New Roman" w:hAnsi="Times New Roman"/>
                <w:sz w:val="16"/>
                <w:szCs w:val="16"/>
                <w:b w:val="1"/>
                <w:bCs w:val="1"/>
                <w:color w:val="auto"/>
                <w:w w:val="97"/>
              </w:rPr>
              <w:t>Q2</w:t>
            </w:r>
          </w:p>
        </w:tc>
        <w:tc>
          <w:tcPr>
            <w:tcW w:w="280" w:type="dxa"/>
            <w:vAlign w:val="bottom"/>
          </w:tcPr>
          <w:p>
            <w:pPr>
              <w:spacing w:after="0"/>
              <w:rPr>
                <w:sz w:val="15"/>
                <w:szCs w:val="15"/>
                <w:color w:val="auto"/>
              </w:rPr>
            </w:pPr>
          </w:p>
        </w:tc>
        <w:tc>
          <w:tcPr>
            <w:tcW w:w="1100" w:type="dxa"/>
            <w:vAlign w:val="bottom"/>
            <w:gridSpan w:val="2"/>
          </w:tcPr>
          <w:p>
            <w:pPr>
              <w:jc w:val="center"/>
              <w:ind w:right="400"/>
              <w:spacing w:after="0" w:line="183" w:lineRule="exact"/>
              <w:rPr>
                <w:sz w:val="20"/>
                <w:szCs w:val="20"/>
                <w:color w:val="auto"/>
              </w:rPr>
            </w:pPr>
            <w:r>
              <w:rPr>
                <w:rFonts w:ascii="Times New Roman" w:cs="Times New Roman" w:eastAsia="Times New Roman" w:hAnsi="Times New Roman"/>
                <w:sz w:val="16"/>
                <w:szCs w:val="16"/>
                <w:b w:val="1"/>
                <w:bCs w:val="1"/>
                <w:color w:val="auto"/>
              </w:rPr>
              <w:t>Q3</w:t>
            </w:r>
          </w:p>
        </w:tc>
      </w:tr>
      <w:tr>
        <w:trPr>
          <w:trHeight w:val="215"/>
        </w:trPr>
        <w:tc>
          <w:tcPr>
            <w:tcW w:w="2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2026</w:t>
            </w: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r>
      <w:tr>
        <w:trPr>
          <w:trHeight w:val="213"/>
        </w:trPr>
        <w:tc>
          <w:tcPr>
            <w:tcW w:w="28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b w:val="1"/>
                <w:bCs w:val="1"/>
                <w:color w:val="auto"/>
              </w:rPr>
              <w:t>Cash flow from operations</w:t>
            </w:r>
          </w:p>
        </w:tc>
        <w:tc>
          <w:tcPr>
            <w:tcW w:w="1640" w:type="dxa"/>
            <w:vAlign w:val="bottom"/>
            <w:gridSpan w:val="2"/>
            <w:shd w:val="clear" w:color="auto" w:fill="CCECFF"/>
          </w:tcPr>
          <w:p>
            <w:pPr>
              <w:jc w:val="right"/>
              <w:ind w:right="679"/>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151.4</w:t>
            </w:r>
          </w:p>
        </w:tc>
        <w:tc>
          <w:tcPr>
            <w:tcW w:w="200" w:type="dxa"/>
            <w:vAlign w:val="bottom"/>
            <w:shd w:val="clear" w:color="auto" w:fill="CCECFF"/>
          </w:tcPr>
          <w:p>
            <w:pPr>
              <w:spacing w:after="0"/>
              <w:rPr>
                <w:sz w:val="18"/>
                <w:szCs w:val="18"/>
                <w:color w:val="auto"/>
              </w:rPr>
            </w:pPr>
          </w:p>
        </w:tc>
        <w:tc>
          <w:tcPr>
            <w:tcW w:w="980" w:type="dxa"/>
            <w:vAlign w:val="bottom"/>
            <w:gridSpan w:val="2"/>
            <w:shd w:val="clear" w:color="auto" w:fill="CCECFF"/>
          </w:tcPr>
          <w:p>
            <w:pPr>
              <w:jc w:val="right"/>
              <w:ind w:right="659"/>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281.3</w:t>
            </w:r>
          </w:p>
        </w:tc>
        <w:tc>
          <w:tcPr>
            <w:tcW w:w="200" w:type="dxa"/>
            <w:vAlign w:val="bottom"/>
            <w:shd w:val="clear" w:color="auto" w:fill="CCECFF"/>
          </w:tcPr>
          <w:p>
            <w:pPr>
              <w:spacing w:after="0"/>
              <w:rPr>
                <w:sz w:val="18"/>
                <w:szCs w:val="18"/>
                <w:color w:val="auto"/>
              </w:rPr>
            </w:pPr>
          </w:p>
        </w:tc>
        <w:tc>
          <w:tcPr>
            <w:tcW w:w="40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(226.6)</w:t>
            </w:r>
          </w:p>
        </w:tc>
        <w:tc>
          <w:tcPr>
            <w:tcW w:w="28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(72.7)</w:t>
            </w:r>
          </w:p>
        </w:tc>
        <w:tc>
          <w:tcPr>
            <w:tcW w:w="28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(57.5)</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r>
      <w:tr>
        <w:trPr>
          <w:trHeight w:val="20"/>
        </w:trPr>
        <w:tc>
          <w:tcPr>
            <w:tcW w:w="2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28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640" w:type="dxa"/>
            <w:vAlign w:val="bottom"/>
            <w:gridSpan w:val="2"/>
            <w:shd w:val="clear" w:color="auto" w:fill="CCECFF"/>
          </w:tcPr>
          <w:p>
            <w:pPr>
              <w:jc w:val="right"/>
              <w:ind w:right="679"/>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135.0</w:t>
            </w:r>
          </w:p>
        </w:tc>
        <w:tc>
          <w:tcPr>
            <w:tcW w:w="200" w:type="dxa"/>
            <w:vAlign w:val="bottom"/>
            <w:shd w:val="clear" w:color="auto" w:fill="CCECFF"/>
          </w:tcPr>
          <w:p>
            <w:pPr>
              <w:spacing w:after="0"/>
              <w:rPr>
                <w:sz w:val="19"/>
                <w:szCs w:val="19"/>
                <w:color w:val="auto"/>
              </w:rPr>
            </w:pPr>
          </w:p>
        </w:tc>
        <w:tc>
          <w:tcPr>
            <w:tcW w:w="980" w:type="dxa"/>
            <w:vAlign w:val="bottom"/>
            <w:gridSpan w:val="2"/>
            <w:shd w:val="clear" w:color="auto" w:fill="CCECFF"/>
          </w:tcPr>
          <w:p>
            <w:pPr>
              <w:jc w:val="right"/>
              <w:ind w:right="659"/>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255.5</w:t>
            </w:r>
          </w:p>
        </w:tc>
        <w:tc>
          <w:tcPr>
            <w:tcW w:w="200" w:type="dxa"/>
            <w:vAlign w:val="bottom"/>
            <w:shd w:val="clear" w:color="auto" w:fill="CCECFF"/>
          </w:tcPr>
          <w:p>
            <w:pPr>
              <w:spacing w:after="0"/>
              <w:rPr>
                <w:sz w:val="19"/>
                <w:szCs w:val="19"/>
                <w:color w:val="auto"/>
              </w:rPr>
            </w:pPr>
          </w:p>
        </w:tc>
        <w:tc>
          <w:tcPr>
            <w:tcW w:w="40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(228.8)</w:t>
            </w:r>
          </w:p>
        </w:tc>
        <w:tc>
          <w:tcPr>
            <w:tcW w:w="28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(74.7)</w:t>
            </w:r>
          </w:p>
        </w:tc>
        <w:tc>
          <w:tcPr>
            <w:tcW w:w="28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(57.7)</w:t>
            </w:r>
          </w:p>
        </w:tc>
      </w:tr>
      <w:tr>
        <w:trPr>
          <w:trHeight w:val="20"/>
        </w:trPr>
        <w:tc>
          <w:tcPr>
            <w:tcW w:w="2840" w:type="dxa"/>
            <w:vAlign w:val="bottom"/>
            <w:tcBorders>
              <w:top w:val="single" w:sz="8" w:color="CCECFF"/>
            </w:tcBorders>
            <w:shd w:val="clear" w:color="auto" w:fill="CCECFF"/>
          </w:tcPr>
          <w:p>
            <w:pPr>
              <w:spacing w:after="0" w:line="20" w:lineRule="exact"/>
              <w:rPr>
                <w:sz w:val="1"/>
                <w:szCs w:val="1"/>
                <w:color w:val="auto"/>
              </w:rPr>
            </w:pPr>
          </w:p>
        </w:tc>
        <w:tc>
          <w:tcPr>
            <w:tcW w:w="800" w:type="dxa"/>
            <w:vAlign w:val="bottom"/>
            <w:tcBorders>
              <w:top w:val="single" w:sz="8" w:color="CCECFF"/>
            </w:tcBorders>
            <w:shd w:val="clear" w:color="auto" w:fill="CCEC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CCECFF"/>
            </w:tcBorders>
            <w:shd w:val="clear" w:color="auto" w:fill="CCEC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CFF"/>
            </w:tcBorders>
            <w:shd w:val="clear" w:color="auto" w:fill="CCEC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-25400</wp:posOffset>
            </wp:positionV>
            <wp:extent cx="774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-7620</wp:posOffset>
            </wp:positionV>
            <wp:extent cx="774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-25400</wp:posOffset>
            </wp:positionV>
            <wp:extent cx="768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-7620</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-25400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500" w:firstLine="8"/>
        <w:spacing w:after="0" w:line="282"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flows related to discontinued operations have not been segregated. Accordingly, the Condensed Consolidated Statements of Cash Flows include the results of continuing and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 w:name="page18"/>
    <w:bookmarkEnd w:id="17"/>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Adjusted Gross Profit and Adjusted Operating Expense</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(Unaudited -- In millions)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GAAP to Non-GAAP Adjusted Gross Profit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Q3 2025</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Q4 2025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Q1 2026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Q2 2026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Q3 2026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8"/>
                <w:szCs w:val="18"/>
                <w:b w:val="1"/>
                <w:bCs w:val="1"/>
                <w:color w:val="auto"/>
              </w:rPr>
              <w:t>Gross profit, as reported</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120.4</w:t>
            </w:r>
          </w:p>
        </w:tc>
        <w:tc>
          <w:tcPr>
            <w:tcW w:w="200" w:type="dxa"/>
            <w:vAlign w:val="bottom"/>
            <w:shd w:val="clear" w:color="auto" w:fill="CCECFF"/>
          </w:tcPr>
          <w:p>
            <w:pPr>
              <w:spacing w:after="0"/>
              <w:rPr>
                <w:sz w:val="18"/>
                <w:szCs w:val="18"/>
                <w:color w:val="auto"/>
              </w:rPr>
            </w:pP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129.2</w:t>
            </w:r>
          </w:p>
        </w:tc>
        <w:tc>
          <w:tcPr>
            <w:tcW w:w="180" w:type="dxa"/>
            <w:vAlign w:val="bottom"/>
            <w:shd w:val="clear" w:color="auto" w:fill="CCECFF"/>
          </w:tcPr>
          <w:p>
            <w:pPr>
              <w:spacing w:after="0"/>
              <w:rPr>
                <w:sz w:val="18"/>
                <w:szCs w:val="18"/>
                <w:color w:val="auto"/>
              </w:rPr>
            </w:pPr>
          </w:p>
        </w:tc>
        <w:tc>
          <w:tcPr>
            <w:tcW w:w="200" w:type="dxa"/>
            <w:vAlign w:val="bottom"/>
            <w:gridSpan w:val="2"/>
            <w:shd w:val="clear" w:color="auto" w:fill="CCEC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116.3</w:t>
            </w:r>
          </w:p>
        </w:tc>
        <w:tc>
          <w:tcPr>
            <w:tcW w:w="180" w:type="dxa"/>
            <w:vAlign w:val="bottom"/>
            <w:shd w:val="clear" w:color="auto" w:fill="CCECFF"/>
          </w:tcPr>
          <w:p>
            <w:pPr>
              <w:spacing w:after="0"/>
              <w:rPr>
                <w:sz w:val="18"/>
                <w:szCs w:val="18"/>
                <w:color w:val="auto"/>
              </w:rPr>
            </w:pPr>
          </w:p>
        </w:tc>
        <w:tc>
          <w:tcPr>
            <w:tcW w:w="1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112.9</w:t>
            </w:r>
          </w:p>
        </w:tc>
        <w:tc>
          <w:tcPr>
            <w:tcW w:w="200" w:type="dxa"/>
            <w:vAlign w:val="bottom"/>
            <w:shd w:val="clear" w:color="auto" w:fill="CCECFF"/>
          </w:tcPr>
          <w:p>
            <w:pPr>
              <w:spacing w:after="0"/>
              <w:rPr>
                <w:sz w:val="18"/>
                <w:szCs w:val="18"/>
                <w:color w:val="auto"/>
              </w:rPr>
            </w:pPr>
          </w:p>
        </w:tc>
        <w:tc>
          <w:tcPr>
            <w:tcW w:w="1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112.4</w:t>
            </w:r>
          </w:p>
        </w:tc>
        <w:tc>
          <w:tcPr>
            <w:tcW w:w="2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8"/>
                <w:szCs w:val="18"/>
                <w:b w:val="1"/>
                <w:bCs w:val="1"/>
                <w:color w:val="auto"/>
              </w:rPr>
              <w:t>Adjusted gross profit</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120.4</w:t>
            </w:r>
          </w:p>
        </w:tc>
        <w:tc>
          <w:tcPr>
            <w:tcW w:w="200" w:type="dxa"/>
            <w:vAlign w:val="bottom"/>
            <w:shd w:val="clear" w:color="auto" w:fill="CCECFF"/>
          </w:tcPr>
          <w:p>
            <w:pPr>
              <w:spacing w:after="0"/>
              <w:rPr>
                <w:sz w:val="18"/>
                <w:szCs w:val="18"/>
                <w:color w:val="auto"/>
              </w:rPr>
            </w:pP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129.3</w:t>
            </w:r>
          </w:p>
        </w:tc>
        <w:tc>
          <w:tcPr>
            <w:tcW w:w="180" w:type="dxa"/>
            <w:vAlign w:val="bottom"/>
            <w:shd w:val="clear" w:color="auto" w:fill="CCECFF"/>
          </w:tcPr>
          <w:p>
            <w:pPr>
              <w:spacing w:after="0"/>
              <w:rPr>
                <w:sz w:val="18"/>
                <w:szCs w:val="18"/>
                <w:color w:val="auto"/>
              </w:rPr>
            </w:pPr>
          </w:p>
        </w:tc>
        <w:tc>
          <w:tcPr>
            <w:tcW w:w="200" w:type="dxa"/>
            <w:vAlign w:val="bottom"/>
            <w:gridSpan w:val="2"/>
            <w:shd w:val="clear" w:color="auto" w:fill="CCEC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116.4</w:t>
            </w:r>
          </w:p>
        </w:tc>
        <w:tc>
          <w:tcPr>
            <w:tcW w:w="180" w:type="dxa"/>
            <w:vAlign w:val="bottom"/>
            <w:shd w:val="clear" w:color="auto" w:fill="CCECFF"/>
          </w:tcPr>
          <w:p>
            <w:pPr>
              <w:spacing w:after="0"/>
              <w:rPr>
                <w:sz w:val="18"/>
                <w:szCs w:val="18"/>
                <w:color w:val="auto"/>
              </w:rPr>
            </w:pPr>
          </w:p>
        </w:tc>
        <w:tc>
          <w:tcPr>
            <w:tcW w:w="1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112.8</w:t>
            </w:r>
          </w:p>
        </w:tc>
        <w:tc>
          <w:tcPr>
            <w:tcW w:w="200" w:type="dxa"/>
            <w:vAlign w:val="bottom"/>
            <w:shd w:val="clear" w:color="auto" w:fill="CCECFF"/>
          </w:tcPr>
          <w:p>
            <w:pPr>
              <w:spacing w:after="0"/>
              <w:rPr>
                <w:sz w:val="18"/>
                <w:szCs w:val="18"/>
                <w:color w:val="auto"/>
              </w:rPr>
            </w:pPr>
          </w:p>
        </w:tc>
        <w:tc>
          <w:tcPr>
            <w:tcW w:w="1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112.5</w:t>
            </w:r>
          </w:p>
        </w:tc>
        <w:tc>
          <w:tcPr>
            <w:tcW w:w="2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gross profit as % of sales</w:t>
            </w:r>
          </w:p>
        </w:tc>
        <w:tc>
          <w:tcPr>
            <w:tcW w:w="16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35.6%</w:t>
            </w:r>
          </w:p>
        </w:tc>
        <w:tc>
          <w:tcPr>
            <w:tcW w:w="18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37.2%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39.0%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35.3%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35.2%</w:t>
            </w:r>
          </w:p>
        </w:tc>
        <w:tc>
          <w:tcPr>
            <w:tcW w:w="0" w:type="dxa"/>
            <w:vAlign w:val="bottom"/>
          </w:tcPr>
          <w:p>
            <w:pPr>
              <w:spacing w:after="0"/>
              <w:rPr>
                <w:sz w:val="1"/>
                <w:szCs w:val="1"/>
                <w:color w:val="auto"/>
              </w:rPr>
            </w:pPr>
          </w:p>
        </w:tc>
      </w:tr>
      <w:tr>
        <w:trPr>
          <w:trHeight w:val="35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GAAP to Non-GAAP Adjusted Operating Expense</w:t>
            </w:r>
          </w:p>
        </w:tc>
        <w:tc>
          <w:tcPr>
            <w:tcW w:w="160" w:type="dxa"/>
            <w:vAlign w:val="bottom"/>
          </w:tcPr>
          <w:p>
            <w:pPr>
              <w:spacing w:after="0"/>
              <w:rPr>
                <w:sz w:val="24"/>
                <w:szCs w:val="24"/>
                <w:color w:val="auto"/>
              </w:rPr>
            </w:pPr>
          </w:p>
        </w:tc>
        <w:tc>
          <w:tcPr>
            <w:tcW w:w="940" w:type="dxa"/>
            <w:vAlign w:val="bottom"/>
            <w:vMerge w:val="restart"/>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Q3 2025</w:t>
            </w:r>
          </w:p>
        </w:tc>
        <w:tc>
          <w:tcPr>
            <w:tcW w:w="200" w:type="dxa"/>
            <w:vAlign w:val="bottom"/>
            <w:vMerge w:val="restart"/>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vMerge w:val="restart"/>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Q4 2025</w:t>
            </w:r>
          </w:p>
        </w:tc>
        <w:tc>
          <w:tcPr>
            <w:tcW w:w="18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vMerge w:val="restart"/>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Q1 2026</w:t>
            </w:r>
          </w:p>
        </w:tc>
        <w:tc>
          <w:tcPr>
            <w:tcW w:w="18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vMerge w:val="restart"/>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Q2 2026</w:t>
            </w:r>
          </w:p>
        </w:tc>
        <w:tc>
          <w:tcPr>
            <w:tcW w:w="20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vMerge w:val="restart"/>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Q3 2026</w:t>
            </w:r>
          </w:p>
        </w:tc>
        <w:tc>
          <w:tcPr>
            <w:tcW w:w="2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920" w:type="dxa"/>
            <w:vAlign w:val="bottom"/>
            <w:tcBorders>
              <w:top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as reported</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74.8</w:t>
            </w:r>
          </w:p>
        </w:tc>
        <w:tc>
          <w:tcPr>
            <w:tcW w:w="200" w:type="dxa"/>
            <w:vAlign w:val="bottom"/>
            <w:shd w:val="clear" w:color="auto" w:fill="CCECFF"/>
          </w:tcPr>
          <w:p>
            <w:pPr>
              <w:spacing w:after="0"/>
              <w:rPr>
                <w:sz w:val="18"/>
                <w:szCs w:val="18"/>
                <w:color w:val="auto"/>
              </w:rPr>
            </w:pP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81.9</w:t>
            </w:r>
          </w:p>
        </w:tc>
        <w:tc>
          <w:tcPr>
            <w:tcW w:w="180" w:type="dxa"/>
            <w:vAlign w:val="bottom"/>
            <w:shd w:val="clear" w:color="auto" w:fill="CCECFF"/>
          </w:tcPr>
          <w:p>
            <w:pPr>
              <w:spacing w:after="0"/>
              <w:rPr>
                <w:sz w:val="18"/>
                <w:szCs w:val="18"/>
                <w:color w:val="auto"/>
              </w:rPr>
            </w:pPr>
          </w:p>
        </w:tc>
        <w:tc>
          <w:tcPr>
            <w:tcW w:w="200" w:type="dxa"/>
            <w:vAlign w:val="bottom"/>
            <w:gridSpan w:val="2"/>
            <w:shd w:val="clear" w:color="auto" w:fill="CCEC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55.5</w:t>
            </w:r>
          </w:p>
        </w:tc>
        <w:tc>
          <w:tcPr>
            <w:tcW w:w="180" w:type="dxa"/>
            <w:vAlign w:val="bottom"/>
            <w:shd w:val="clear" w:color="auto" w:fill="CCECFF"/>
          </w:tcPr>
          <w:p>
            <w:pPr>
              <w:spacing w:after="0"/>
              <w:rPr>
                <w:sz w:val="18"/>
                <w:szCs w:val="18"/>
                <w:color w:val="auto"/>
              </w:rPr>
            </w:pPr>
          </w:p>
        </w:tc>
        <w:tc>
          <w:tcPr>
            <w:tcW w:w="1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64.1</w:t>
            </w:r>
          </w:p>
        </w:tc>
        <w:tc>
          <w:tcPr>
            <w:tcW w:w="200" w:type="dxa"/>
            <w:vAlign w:val="bottom"/>
            <w:shd w:val="clear" w:color="auto" w:fill="CCECFF"/>
          </w:tcPr>
          <w:p>
            <w:pPr>
              <w:spacing w:after="0"/>
              <w:rPr>
                <w:sz w:val="18"/>
                <w:szCs w:val="18"/>
                <w:color w:val="auto"/>
              </w:rPr>
            </w:pPr>
          </w:p>
        </w:tc>
        <w:tc>
          <w:tcPr>
            <w:tcW w:w="1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48.6</w:t>
            </w:r>
          </w:p>
        </w:tc>
        <w:tc>
          <w:tcPr>
            <w:tcW w:w="2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 as reported</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42.6</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117.4</w:t>
            </w:r>
          </w:p>
        </w:tc>
        <w:tc>
          <w:tcPr>
            <w:tcW w:w="200" w:type="dxa"/>
            <w:vAlign w:val="bottom"/>
            <w:shd w:val="clear" w:color="auto" w:fill="CCECFF"/>
          </w:tcPr>
          <w:p>
            <w:pPr>
              <w:spacing w:after="0"/>
              <w:rPr>
                <w:sz w:val="18"/>
                <w:szCs w:val="18"/>
                <w:color w:val="auto"/>
              </w:rPr>
            </w:pP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122.3</w:t>
            </w:r>
          </w:p>
        </w:tc>
        <w:tc>
          <w:tcPr>
            <w:tcW w:w="180" w:type="dxa"/>
            <w:vAlign w:val="bottom"/>
            <w:shd w:val="clear" w:color="auto" w:fill="CCECFF"/>
          </w:tcPr>
          <w:p>
            <w:pPr>
              <w:spacing w:after="0"/>
              <w:rPr>
                <w:sz w:val="18"/>
                <w:szCs w:val="18"/>
                <w:color w:val="auto"/>
              </w:rPr>
            </w:pPr>
          </w:p>
        </w:tc>
        <w:tc>
          <w:tcPr>
            <w:tcW w:w="200" w:type="dxa"/>
            <w:vAlign w:val="bottom"/>
            <w:gridSpan w:val="2"/>
            <w:shd w:val="clear" w:color="auto" w:fill="CCEC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88.4</w:t>
            </w:r>
          </w:p>
        </w:tc>
        <w:tc>
          <w:tcPr>
            <w:tcW w:w="180" w:type="dxa"/>
            <w:vAlign w:val="bottom"/>
            <w:shd w:val="clear" w:color="auto" w:fill="CCECFF"/>
          </w:tcPr>
          <w:p>
            <w:pPr>
              <w:spacing w:after="0"/>
              <w:rPr>
                <w:sz w:val="18"/>
                <w:szCs w:val="18"/>
                <w:color w:val="auto"/>
              </w:rPr>
            </w:pPr>
          </w:p>
        </w:tc>
        <w:tc>
          <w:tcPr>
            <w:tcW w:w="1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94.9</w:t>
            </w:r>
          </w:p>
        </w:tc>
        <w:tc>
          <w:tcPr>
            <w:tcW w:w="200" w:type="dxa"/>
            <w:vAlign w:val="bottom"/>
            <w:shd w:val="clear" w:color="auto" w:fill="CCECFF"/>
          </w:tcPr>
          <w:p>
            <w:pPr>
              <w:spacing w:after="0"/>
              <w:rPr>
                <w:sz w:val="18"/>
                <w:szCs w:val="18"/>
                <w:color w:val="auto"/>
              </w:rPr>
            </w:pPr>
          </w:p>
        </w:tc>
        <w:tc>
          <w:tcPr>
            <w:tcW w:w="1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76.0</w:t>
            </w:r>
          </w:p>
        </w:tc>
        <w:tc>
          <w:tcPr>
            <w:tcW w:w="2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8"/>
                <w:szCs w:val="18"/>
                <w:color w:val="auto"/>
              </w:rPr>
              <w:t>Transaction, transformation and integration costs</w:t>
            </w:r>
          </w:p>
        </w:tc>
        <w:tc>
          <w:tcPr>
            <w:tcW w:w="160" w:type="dxa"/>
            <w:vAlign w:val="bottom"/>
            <w:tcBorders>
              <w:bottom w:val="single" w:sz="8" w:color="auto"/>
            </w:tcBorders>
            <w:shd w:val="clear" w:color="auto" w:fill="CCECFF"/>
          </w:tcPr>
          <w:p>
            <w:pPr>
              <w:spacing w:after="0"/>
              <w:rPr>
                <w:sz w:val="18"/>
                <w:szCs w:val="18"/>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CFF"/>
          </w:tcPr>
          <w:p>
            <w:pPr>
              <w:spacing w:after="0"/>
              <w:rPr>
                <w:sz w:val="18"/>
                <w:szCs w:val="18"/>
                <w:color w:val="auto"/>
              </w:rPr>
            </w:pPr>
          </w:p>
        </w:tc>
        <w:tc>
          <w:tcPr>
            <w:tcW w:w="180" w:type="dxa"/>
            <w:vAlign w:val="bottom"/>
            <w:tcBorders>
              <w:bottom w:val="single" w:sz="8" w:color="auto"/>
            </w:tcBorders>
            <w:shd w:val="clear" w:color="auto" w:fill="CCECFF"/>
          </w:tcPr>
          <w:p>
            <w:pPr>
              <w:spacing w:after="0"/>
              <w:rPr>
                <w:sz w:val="18"/>
                <w:szCs w:val="18"/>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8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180" w:type="dxa"/>
            <w:vAlign w:val="bottom"/>
            <w:tcBorders>
              <w:bottom w:val="single" w:sz="8" w:color="auto"/>
            </w:tcBorders>
            <w:shd w:val="clear" w:color="auto" w:fill="CCECFF"/>
          </w:tcPr>
          <w:p>
            <w:pPr>
              <w:spacing w:after="0"/>
              <w:rPr>
                <w:sz w:val="18"/>
                <w:szCs w:val="18"/>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160" w:type="dxa"/>
            <w:vAlign w:val="bottom"/>
            <w:tcBorders>
              <w:bottom w:val="single" w:sz="8" w:color="auto"/>
            </w:tcBorders>
            <w:shd w:val="clear" w:color="auto" w:fill="CCECFF"/>
          </w:tcPr>
          <w:p>
            <w:pPr>
              <w:spacing w:after="0"/>
              <w:rPr>
                <w:sz w:val="18"/>
                <w:szCs w:val="18"/>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160" w:type="dxa"/>
            <w:vAlign w:val="bottom"/>
            <w:tcBorders>
              <w:bottom w:val="single" w:sz="8" w:color="auto"/>
            </w:tcBorders>
            <w:shd w:val="clear" w:color="auto" w:fill="CCECFF"/>
          </w:tcPr>
          <w:p>
            <w:pPr>
              <w:spacing w:after="0"/>
              <w:rPr>
                <w:sz w:val="18"/>
                <w:szCs w:val="18"/>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operating expense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108.9</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8"/>
                <w:szCs w:val="18"/>
                <w:b w:val="1"/>
                <w:bCs w:val="1"/>
                <w:color w:val="auto"/>
              </w:rPr>
              <w:t>Adjusted operating expense as % of sales</w:t>
            </w:r>
          </w:p>
        </w:tc>
        <w:tc>
          <w:tcPr>
            <w:tcW w:w="160" w:type="dxa"/>
            <w:vAlign w:val="bottom"/>
            <w:shd w:val="clear" w:color="auto" w:fill="CCECFF"/>
          </w:tcPr>
          <w:p>
            <w:pPr>
              <w:spacing w:after="0"/>
              <w:rPr>
                <w:sz w:val="18"/>
                <w:szCs w:val="18"/>
                <w:color w:val="auto"/>
              </w:rPr>
            </w:pPr>
          </w:p>
        </w:tc>
        <w:tc>
          <w:tcPr>
            <w:tcW w:w="11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32.2%</w:t>
            </w:r>
          </w:p>
        </w:tc>
        <w:tc>
          <w:tcPr>
            <w:tcW w:w="180" w:type="dxa"/>
            <w:vAlign w:val="bottom"/>
            <w:shd w:val="clear" w:color="auto" w:fill="CCECFF"/>
          </w:tcPr>
          <w:p>
            <w:pPr>
              <w:spacing w:after="0"/>
              <w:rPr>
                <w:sz w:val="18"/>
                <w:szCs w:val="18"/>
                <w:color w:val="auto"/>
              </w:rPr>
            </w:pPr>
          </w:p>
        </w:tc>
        <w:tc>
          <w:tcPr>
            <w:tcW w:w="11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30.5%</w:t>
            </w:r>
          </w:p>
        </w:tc>
        <w:tc>
          <w:tcPr>
            <w:tcW w:w="2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1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26.7%</w:t>
            </w:r>
          </w:p>
        </w:tc>
        <w:tc>
          <w:tcPr>
            <w:tcW w:w="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12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25.2%</w:t>
            </w:r>
          </w:p>
        </w:tc>
        <w:tc>
          <w:tcPr>
            <w:tcW w:w="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1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may not sum to total due to rounding.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“Non-GAAP Financial Measures”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8" w:name="page19"/>
    <w:bookmarkEnd w:id="18"/>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Reconciliation of GAAP Measures to Non-GAAP Adjusted Measures</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(Unaudited -- In millions)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Adjusted EBITDA Outlook Reconciliation</w:t>
      </w:r>
    </w:p>
    <w:p>
      <w:pPr>
        <w:spacing w:after="0" w:line="225" w:lineRule="exact"/>
        <w:rPr>
          <w:sz w:val="20"/>
          <w:szCs w:val="20"/>
          <w:color w:val="auto"/>
        </w:rPr>
      </w:pPr>
    </w:p>
    <w:p>
      <w:pPr>
        <w:jc w:val="center"/>
        <w:ind w:left="7880"/>
        <w:spacing w:after="0"/>
        <w:rPr>
          <w:sz w:val="20"/>
          <w:szCs w:val="20"/>
          <w:color w:val="auto"/>
        </w:rPr>
      </w:pPr>
      <w:r>
        <w:rPr>
          <w:rFonts w:ascii="Times New Roman" w:cs="Times New Roman" w:eastAsia="Times New Roman" w:hAnsi="Times New Roman"/>
          <w:sz w:val="18"/>
          <w:szCs w:val="18"/>
          <w:b w:val="1"/>
          <w:bCs w:val="1"/>
          <w:color w:val="auto"/>
        </w:rPr>
        <w:t>Outlook Range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19685</wp:posOffset>
            </wp:positionV>
            <wp:extent cx="197993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11"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6"/>
          <w:szCs w:val="16"/>
          <w:b w:val="1"/>
          <w:bCs w:val="1"/>
          <w:color w:val="auto"/>
        </w:rPr>
        <w:t>2026</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b w:val="1"/>
                <w:bCs w:val="1"/>
                <w:color w:val="auto"/>
              </w:rPr>
              <w:t>Aurora operating income</w:t>
            </w:r>
          </w:p>
        </w:tc>
        <w:tc>
          <w:tcPr>
            <w:tcW w:w="660" w:type="dxa"/>
            <w:vAlign w:val="bottom"/>
            <w:tcBorders>
              <w:top w:val="single" w:sz="8" w:color="auto"/>
            </w:tcBorders>
            <w:shd w:val="clear" w:color="auto" w:fill="CCECFF"/>
          </w:tcPr>
          <w:p>
            <w:pPr>
              <w:jc w:val="right"/>
              <w:ind w:right="4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760" w:type="dxa"/>
            <w:vAlign w:val="bottom"/>
            <w:tcBorders>
              <w:top w:val="single" w:sz="8" w:color="auto"/>
            </w:tcBorders>
            <w:gridSpan w:val="2"/>
            <w:shd w:val="clear" w:color="auto" w:fill="CCEC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100" w:type="dxa"/>
            <w:vAlign w:val="bottom"/>
            <w:shd w:val="clear" w:color="auto" w:fill="CCECFF"/>
          </w:tcPr>
          <w:p>
            <w:pPr>
              <w:spacing w:after="0"/>
              <w:rPr>
                <w:sz w:val="18"/>
                <w:szCs w:val="18"/>
                <w:color w:val="auto"/>
              </w:rPr>
            </w:pPr>
          </w:p>
        </w:tc>
      </w:tr>
      <w:tr>
        <w:trPr>
          <w:trHeight w:val="216"/>
        </w:trPr>
        <w:tc>
          <w:tcPr>
            <w:tcW w:w="8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Adjustments:</w:t>
            </w: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66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CFF"/>
          </w:tcPr>
          <w:p>
            <w:pPr>
              <w:spacing w:after="0"/>
              <w:rPr>
                <w:sz w:val="18"/>
                <w:szCs w:val="18"/>
                <w:color w:val="auto"/>
              </w:rPr>
            </w:pPr>
          </w:p>
        </w:tc>
        <w:tc>
          <w:tcPr>
            <w:tcW w:w="640" w:type="dxa"/>
            <w:vAlign w:val="bottom"/>
            <w:shd w:val="clear" w:color="auto" w:fill="CCECFF"/>
          </w:tcPr>
          <w:p>
            <w:pPr>
              <w:spacing w:after="0"/>
              <w:rPr>
                <w:sz w:val="18"/>
                <w:szCs w:val="18"/>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CFF"/>
          </w:tcPr>
          <w:p>
            <w:pPr>
              <w:spacing w:after="0"/>
              <w:rPr>
                <w:sz w:val="18"/>
                <w:szCs w:val="18"/>
                <w:color w:val="auto"/>
              </w:rPr>
            </w:pPr>
          </w:p>
        </w:tc>
      </w:tr>
      <w:tr>
        <w:trPr>
          <w:trHeight w:val="216"/>
        </w:trPr>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Equity-based compensation</w:t>
            </w:r>
          </w:p>
        </w:tc>
        <w:tc>
          <w:tcPr>
            <w:tcW w:w="6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r>
      <w:tr>
        <w:trPr>
          <w:trHeight w:val="216"/>
        </w:trPr>
        <w:tc>
          <w:tcPr>
            <w:tcW w:w="80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Restructuring costs, net and transaction and transformation costs</w:t>
            </w:r>
          </w:p>
        </w:tc>
        <w:tc>
          <w:tcPr>
            <w:tcW w:w="66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CFF"/>
          </w:tcPr>
          <w:p>
            <w:pPr>
              <w:spacing w:after="0"/>
              <w:rPr>
                <w:sz w:val="18"/>
                <w:szCs w:val="18"/>
                <w:color w:val="auto"/>
              </w:rPr>
            </w:pPr>
          </w:p>
        </w:tc>
        <w:tc>
          <w:tcPr>
            <w:tcW w:w="640" w:type="dxa"/>
            <w:vAlign w:val="bottom"/>
            <w:shd w:val="clear" w:color="auto" w:fill="CCECFF"/>
          </w:tcPr>
          <w:p>
            <w:pPr>
              <w:spacing w:after="0"/>
              <w:rPr>
                <w:sz w:val="18"/>
                <w:szCs w:val="18"/>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CFF"/>
          </w:tcPr>
          <w:p>
            <w:pPr>
              <w:spacing w:after="0"/>
              <w:rPr>
                <w:sz w:val="18"/>
                <w:szCs w:val="18"/>
                <w:color w:val="auto"/>
              </w:rPr>
            </w:pPr>
          </w:p>
        </w:tc>
      </w:tr>
      <w:tr>
        <w:trPr>
          <w:trHeight w:val="216"/>
        </w:trPr>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6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r>
      <w:tr>
        <w:trPr>
          <w:trHeight w:val="209"/>
        </w:trPr>
        <w:tc>
          <w:tcPr>
            <w:tcW w:w="8020" w:type="dxa"/>
            <w:vAlign w:val="bottom"/>
            <w:tcBorders>
              <w:bottom w:val="single" w:sz="8" w:color="CCECFF"/>
            </w:tcBorders>
            <w:shd w:val="clear" w:color="auto" w:fill="CCECFF"/>
          </w:tcPr>
          <w:p>
            <w:pPr>
              <w:ind w:left="220"/>
              <w:spacing w:after="0"/>
              <w:rPr>
                <w:sz w:val="20"/>
                <w:szCs w:val="20"/>
                <w:color w:val="auto"/>
              </w:rPr>
            </w:pPr>
            <w:r>
              <w:rPr>
                <w:rFonts w:ascii="Times New Roman" w:cs="Times New Roman" w:eastAsia="Times New Roman" w:hAnsi="Times New Roman"/>
                <w:sz w:val="18"/>
                <w:szCs w:val="18"/>
                <w:color w:val="auto"/>
              </w:rPr>
              <w:t>Total adjustments to operating income</w:t>
            </w:r>
          </w:p>
        </w:tc>
        <w:tc>
          <w:tcPr>
            <w:tcW w:w="660" w:type="dxa"/>
            <w:vAlign w:val="bottom"/>
            <w:tcBorders>
              <w:bottom w:val="single" w:sz="8" w:color="auto"/>
            </w:tcBorders>
            <w:shd w:val="clear" w:color="auto" w:fill="CCECFF"/>
          </w:tcPr>
          <w:p>
            <w:pPr>
              <w:spacing w:after="0"/>
              <w:rPr>
                <w:sz w:val="18"/>
                <w:szCs w:val="18"/>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bottom w:val="single" w:sz="8" w:color="CCECFF"/>
            </w:tcBorders>
            <w:shd w:val="clear" w:color="auto" w:fill="CCECFF"/>
          </w:tcPr>
          <w:p>
            <w:pPr>
              <w:spacing w:after="0"/>
              <w:rPr>
                <w:sz w:val="18"/>
                <w:szCs w:val="18"/>
                <w:color w:val="auto"/>
              </w:rPr>
            </w:pPr>
          </w:p>
        </w:tc>
        <w:tc>
          <w:tcPr>
            <w:tcW w:w="640" w:type="dxa"/>
            <w:vAlign w:val="bottom"/>
            <w:tcBorders>
              <w:bottom w:val="single" w:sz="8" w:color="auto"/>
            </w:tcBorders>
            <w:shd w:val="clear" w:color="auto" w:fill="CCECFF"/>
          </w:tcPr>
          <w:p>
            <w:pPr>
              <w:spacing w:after="0"/>
              <w:rPr>
                <w:sz w:val="18"/>
                <w:szCs w:val="18"/>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CFF"/>
            </w:tcBorders>
            <w:shd w:val="clear" w:color="auto" w:fill="CCECFF"/>
          </w:tcPr>
          <w:p>
            <w:pPr>
              <w:spacing w:after="0"/>
              <w:rPr>
                <w:sz w:val="18"/>
                <w:szCs w:val="18"/>
                <w:color w:val="auto"/>
              </w:rPr>
            </w:pPr>
          </w:p>
        </w:tc>
      </w:tr>
      <w:tr>
        <w:trPr>
          <w:trHeight w:val="210"/>
        </w:trPr>
        <w:tc>
          <w:tcPr>
            <w:tcW w:w="80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Aurora adjusted EBITDA</w:t>
            </w:r>
          </w:p>
        </w:tc>
        <w:tc>
          <w:tcPr>
            <w:tcW w:w="660" w:type="dxa"/>
            <w:vAlign w:val="bottom"/>
          </w:tcPr>
          <w:p>
            <w:pPr>
              <w:jc w:val="right"/>
              <w:ind w:right="4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180</w:t>
            </w:r>
          </w:p>
        </w:tc>
        <w:tc>
          <w:tcPr>
            <w:tcW w:w="7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100" w:type="dxa"/>
            <w:vAlign w:val="bottom"/>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-170815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9" w:lineRule="exact"/>
        <w:rPr>
          <w:sz w:val="20"/>
          <w:szCs w:val="20"/>
          <w:color w:val="auto"/>
        </w:rPr>
      </w:pPr>
    </w:p>
    <w:p>
      <w:pPr>
        <w:ind w:right="460"/>
        <w:spacing w:after="0" w:line="298" w:lineRule="auto"/>
        <w:rPr>
          <w:sz w:val="20"/>
          <w:szCs w:val="20"/>
          <w:color w:val="auto"/>
        </w:rPr>
      </w:pPr>
      <w:r>
        <w:rPr>
          <w:rFonts w:ascii="Times New Roman" w:cs="Times New Roman" w:eastAsia="Times New Roman" w:hAnsi="Times New Roman"/>
          <w:sz w:val="16"/>
          <w:szCs w:val="16"/>
          <w:color w:val="auto"/>
        </w:rPr>
        <w:t>Our actual results may be impacted by additional events for which information is not currently available, such as additional restructuring activities, asset impairments, additional transaction, transformation and integration costs and other gains or losses related to events that are not currently known or measurable.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"Forward-Looking Statements" and "Non-GAAP Financial Measures"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1842135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9" w:name="page20"/>
    <w:bookmarkEnd w:id="1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lvl w:ilvl="1">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2026-11-05T06:15:30Z</dcterms:created>
  <dcterms:modified xsi:type="dcterms:W3CDTF">2026-11-05T06:15:30Z</dcterms:modified>
</cp:coreProperties>
</file>