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756920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-211455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1" w:lineRule="exact"/>
        <w:rPr>
          <w:rFonts w:ascii="MS PGothic" w:cs="MS PGothic" w:eastAsia="MS PGothic" w:hAnsi="MS PGothic"/>
          <w:sz w:val="18"/>
          <w:szCs w:val="18"/>
          <w:color w:val="auto"/>
          <w:highlight w:val="black"/>
        </w:rPr>
      </w:pPr>
    </w:p>
    <w:p>
      <w:pPr>
        <w:ind w:left="38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4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ind w:left="380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001-36146</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CommScope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-266065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tcPr>
          <w:p>
            <w:pPr>
              <w:jc w:val="center"/>
              <w:ind w:right="1623"/>
              <w:spacing w:after="0"/>
              <w:rPr>
                <w:sz w:val="20"/>
                <w:szCs w:val="20"/>
                <w:color w:val="auto"/>
              </w:rPr>
            </w:pPr>
            <w:r>
              <w:rPr>
                <w:rFonts w:ascii="Times New Roman" w:cs="Times New Roman" w:eastAsia="Times New Roman" w:hAnsi="Times New Roman"/>
                <w:sz w:val="18"/>
                <w:szCs w:val="18"/>
                <w:b w:val="1"/>
                <w:bCs w:val="1"/>
                <w:color w:val="auto"/>
                <w:w w:val="98"/>
              </w:rPr>
              <w:t>27-4332098</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jc w:val="center"/>
              <w:ind w:right="160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880" w:type="dxa"/>
            <w:vAlign w:val="bottom"/>
          </w:tcPr>
          <w:p>
            <w:pPr>
              <w:jc w:val="center"/>
              <w:ind w:left="16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3920" w:type="dxa"/>
            <w:vAlign w:val="bottom"/>
          </w:tcPr>
          <w:p>
            <w:pPr>
              <w:jc w:val="center"/>
              <w:ind w:right="1603"/>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vMerge w:val="continue"/>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Claremont, North Carolina</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gridSpan w:val="5"/>
          </w:tcPr>
          <w:p>
            <w:pPr>
              <w:jc w:val="center"/>
              <w:ind w:right="460"/>
              <w:spacing w:after="0" w:line="151"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2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28610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4"/>
          </w:tcPr>
          <w:p>
            <w:pPr>
              <w:jc w:val="center"/>
              <w:ind w:right="560"/>
              <w:spacing w:after="0" w:line="151"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3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80" w:type="dxa"/>
            <w:vAlign w:val="bottom"/>
          </w:tcPr>
          <w:p>
            <w:pPr>
              <w:spacing w:after="0"/>
              <w:rPr>
                <w:sz w:val="18"/>
                <w:szCs w:val="18"/>
                <w:color w:val="auto"/>
              </w:rPr>
            </w:pPr>
          </w:p>
        </w:tc>
        <w:tc>
          <w:tcPr>
            <w:tcW w:w="23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(828) 459-5000</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8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4"/>
            <w:vMerge w:val="continue"/>
          </w:tcPr>
          <w:p>
            <w:pPr>
              <w:spacing w:after="0"/>
              <w:rPr>
                <w:sz w:val="12"/>
                <w:szCs w:val="12"/>
                <w:color w:val="auto"/>
              </w:rPr>
            </w:pPr>
          </w:p>
        </w:tc>
        <w:tc>
          <w:tcPr>
            <w:tcW w:w="3920" w:type="dxa"/>
            <w:vAlign w:val="bottom"/>
            <w:vMerge w:val="restart"/>
          </w:tcPr>
          <w:p>
            <w:pPr>
              <w:jc w:val="center"/>
              <w:ind w:right="10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8"/>
              </w:rPr>
              <w:t>COMM</w:t>
            </w: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17"/>
                <w:szCs w:val="17"/>
                <w:color w:val="auto"/>
              </w:rPr>
            </w:pPr>
          </w:p>
        </w:tc>
        <w:tc>
          <w:tcPr>
            <w:tcW w:w="3920" w:type="dxa"/>
            <w:vAlign w:val="bottom"/>
            <w:tcBorders>
              <w:top w:val="single" w:sz="8" w:color="auto"/>
            </w:tcBorders>
          </w:tcPr>
          <w:p>
            <w:pPr>
              <w:jc w:val="center"/>
              <w:ind w:right="1043"/>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8"/>
        </w:trPr>
        <w:tc>
          <w:tcPr>
            <w:tcW w:w="18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51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8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7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26, 2024, there were 215,850,184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I—Financial Information (Unaudited):</w:t>
            </w:r>
          </w:p>
        </w:tc>
        <w:tc>
          <w:tcPr>
            <w:tcW w:w="20" w:type="dxa"/>
            <w:vAlign w:val="bottom"/>
            <w:tcBorders>
              <w:bottom w:val="single" w:sz="8" w:color="0000EE"/>
            </w:tcBorders>
          </w:tcPr>
          <w:p>
            <w:pPr>
              <w:spacing w:after="0"/>
              <w:rPr>
                <w:sz w:val="17"/>
                <w:szCs w:val="17"/>
                <w:color w:val="auto"/>
              </w:rPr>
            </w:pPr>
          </w:p>
        </w:tc>
        <w:tc>
          <w:tcPr>
            <w:tcW w:w="6440" w:type="dxa"/>
            <w:vAlign w:val="bottom"/>
            <w:gridSpan w:val="12"/>
          </w:tcPr>
          <w:p>
            <w:pPr>
              <w:spacing w:after="0"/>
              <w:rPr>
                <w:sz w:val="17"/>
                <w:szCs w:val="17"/>
                <w:color w:val="auto"/>
              </w:rPr>
            </w:pPr>
          </w:p>
        </w:tc>
        <w:tc>
          <w:tcPr>
            <w:tcW w:w="1620" w:type="dxa"/>
            <w:vAlign w:val="bottom"/>
          </w:tcPr>
          <w:p>
            <w:pPr>
              <w:spacing w:after="0"/>
              <w:rPr>
                <w:sz w:val="17"/>
                <w:szCs w:val="17"/>
                <w:color w:val="auto"/>
              </w:rPr>
            </w:pPr>
          </w:p>
        </w:tc>
      </w:tr>
      <w:tr>
        <w:trPr>
          <w:trHeight w:val="371"/>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6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2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II—Other Information:</w:t>
            </w:r>
          </w:p>
        </w:tc>
        <w:tc>
          <w:tcPr>
            <w:tcW w:w="7580" w:type="dxa"/>
            <w:vAlign w:val="bottom"/>
            <w:gridSpan w:val="17"/>
          </w:tcPr>
          <w:p>
            <w:pPr>
              <w:spacing w:after="0"/>
              <w:rPr>
                <w:sz w:val="24"/>
                <w:szCs w:val="24"/>
                <w:color w:val="auto"/>
              </w:rPr>
            </w:pPr>
          </w:p>
        </w:tc>
        <w:tc>
          <w:tcPr>
            <w:tcW w:w="1620" w:type="dxa"/>
            <w:vAlign w:val="bottom"/>
          </w:tcPr>
          <w:p>
            <w:pPr>
              <w:spacing w:after="0"/>
              <w:rPr>
                <w:sz w:val="24"/>
                <w:szCs w:val="24"/>
                <w:color w:val="auto"/>
              </w:rPr>
            </w:pPr>
          </w:p>
        </w:tc>
      </w:tr>
      <w:tr>
        <w:trPr>
          <w:trHeight w:val="371"/>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4820" w:type="dxa"/>
            <w:vAlign w:val="bottom"/>
            <w:gridSpan w:val="10"/>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28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85"/>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820" w:type="dxa"/>
            <w:vAlign w:val="bottom"/>
            <w:gridSpan w:val="20"/>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6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 In millions,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28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 agreement income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6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(167.5 )</w:t>
            </w:r>
          </w:p>
        </w:tc>
        <w:tc>
          <w:tcPr>
            <w:tcW w:w="26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(168.5 )</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(335.2 )</w:t>
            </w:r>
          </w:p>
        </w:tc>
        <w:tc>
          <w:tcPr>
            <w:tcW w:w="26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(333.6 )</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(66.7 )</w:t>
            </w:r>
          </w:p>
        </w:tc>
        <w:tc>
          <w:tcPr>
            <w:tcW w:w="24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(131.2 )</w:t>
            </w:r>
          </w:p>
        </w:tc>
        <w:tc>
          <w:tcPr>
            <w:tcW w:w="260" w:type="dxa"/>
            <w:vAlign w:val="bottom"/>
            <w:shd w:val="clear" w:color="auto" w:fill="CCECFF"/>
          </w:tcPr>
          <w:p>
            <w:pPr>
              <w:spacing w:after="0"/>
              <w:rPr>
                <w:sz w:val="20"/>
                <w:szCs w:val="20"/>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(56.1 )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(63.1 )</w:t>
            </w:r>
          </w:p>
        </w:tc>
        <w:tc>
          <w:tcPr>
            <w:tcW w:w="24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(187.3 )</w:t>
            </w:r>
          </w:p>
        </w:tc>
        <w:tc>
          <w:tcPr>
            <w:tcW w:w="260" w:type="dxa"/>
            <w:vAlign w:val="bottom"/>
            <w:shd w:val="clear" w:color="auto" w:fill="CCECFF"/>
          </w:tcPr>
          <w:p>
            <w:pPr>
              <w:spacing w:after="0"/>
              <w:rPr>
                <w:sz w:val="20"/>
                <w:szCs w:val="20"/>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(expense) benefit of $6.8, $(12.0), $(10.8) and $(8.2),</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(30.4 )</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(37.3 )</w:t>
            </w:r>
          </w:p>
        </w:tc>
        <w:tc>
          <w:tcPr>
            <w:tcW w:w="240" w:type="dxa"/>
            <w:vAlign w:val="bottom"/>
          </w:tcPr>
          <w:p>
            <w:pPr>
              <w:spacing w:after="0"/>
              <w:rPr>
                <w:sz w:val="18"/>
                <w:szCs w:val="18"/>
                <w:color w:val="auto"/>
              </w:rPr>
            </w:pPr>
          </w:p>
        </w:tc>
        <w:tc>
          <w:tcPr>
            <w:tcW w:w="11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(127.5 )</w:t>
            </w:r>
          </w:p>
        </w:tc>
        <w:tc>
          <w:tcPr>
            <w:tcW w:w="260" w:type="dxa"/>
            <w:vAlign w:val="bottom"/>
          </w:tcPr>
          <w:p>
            <w:pPr>
              <w:spacing w:after="0"/>
              <w:rPr>
                <w:sz w:val="18"/>
                <w:szCs w:val="18"/>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34"/>
        </w:trPr>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(100.4 )</w:t>
            </w:r>
          </w:p>
        </w:tc>
        <w:tc>
          <w:tcPr>
            <w:tcW w:w="24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(314.8 )</w:t>
            </w:r>
          </w:p>
        </w:tc>
        <w:tc>
          <w:tcPr>
            <w:tcW w:w="260" w:type="dxa"/>
            <w:vAlign w:val="bottom"/>
            <w:shd w:val="clear" w:color="auto" w:fill="CCECFF"/>
          </w:tcPr>
          <w:p>
            <w:pPr>
              <w:spacing w:after="0"/>
              <w:rPr>
                <w:sz w:val="20"/>
                <w:szCs w:val="20"/>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dividends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(16.2 )</w:t>
            </w:r>
          </w:p>
        </w:tc>
        <w:tc>
          <w:tcPr>
            <w:tcW w:w="26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(15.3 )</w:t>
            </w:r>
          </w:p>
        </w:tc>
        <w:tc>
          <w:tcPr>
            <w:tcW w:w="24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(32.2 )</w:t>
            </w: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80"/>
        </w:trPr>
        <w:tc>
          <w:tcPr>
            <w:tcW w:w="594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tcBorders>
              <w:top w:val="single" w:sz="8" w:color="CCECFF"/>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tcBorders>
              <w:top w:val="single" w:sz="8" w:color="CCECFF"/>
              <w:bottom w:val="single" w:sz="8" w:color="CCECFF"/>
            </w:tcBorders>
            <w:shd w:val="clear" w:color="auto" w:fill="CCEC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80" w:type="dxa"/>
            <w:vAlign w:val="bottom"/>
            <w:tcBorders>
              <w:top w:val="single" w:sz="8" w:color="CCECFF"/>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(0.37 )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(1.03 )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(0.14 )</w:t>
            </w:r>
          </w:p>
        </w:tc>
        <w:tc>
          <w:tcPr>
            <w:tcW w:w="26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(0.18 )</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(0.60 )</w:t>
            </w:r>
          </w:p>
        </w:tc>
        <w:tc>
          <w:tcPr>
            <w:tcW w:w="26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0" w:type="dxa"/>
            <w:vAlign w:val="bottom"/>
          </w:tcPr>
          <w:p>
            <w:pPr>
              <w:spacing w:after="0"/>
              <w:rPr>
                <w:sz w:val="1"/>
                <w:szCs w:val="1"/>
                <w:color w:val="auto"/>
              </w:rPr>
            </w:pPr>
          </w:p>
        </w:tc>
      </w:tr>
      <w:tr>
        <w:trPr>
          <w:trHeight w:val="20"/>
        </w:trPr>
        <w:tc>
          <w:tcPr>
            <w:tcW w:w="59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(0.55 )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(1.63 )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(0.37 )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(1.03 )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(0.14 )</w:t>
            </w:r>
          </w:p>
        </w:tc>
        <w:tc>
          <w:tcPr>
            <w:tcW w:w="26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(0.18 )</w:t>
            </w:r>
          </w:p>
        </w:tc>
        <w:tc>
          <w:tcPr>
            <w:tcW w:w="24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(0.60 )</w:t>
            </w:r>
          </w:p>
        </w:tc>
        <w:tc>
          <w:tcPr>
            <w:tcW w:w="2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shd w:val="clear" w:color="auto" w:fill="CCECFF"/>
          </w:tcPr>
          <w:p>
            <w:pPr>
              <w:spacing w:after="0"/>
              <w:rPr>
                <w:sz w:val="24"/>
                <w:szCs w:val="24"/>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CFF"/>
          </w:tcPr>
          <w:p>
            <w:pPr>
              <w:jc w:val="right"/>
              <w:ind w:right="141"/>
              <w:spacing w:after="0"/>
              <w:rPr>
                <w:sz w:val="20"/>
                <w:szCs w:val="20"/>
                <w:color w:val="auto"/>
              </w:rPr>
            </w:pPr>
            <w:r>
              <w:rPr>
                <w:rFonts w:ascii="Times New Roman" w:cs="Times New Roman" w:eastAsia="Times New Roman" w:hAnsi="Times New Roman"/>
                <w:sz w:val="18"/>
                <w:szCs w:val="18"/>
                <w:color w:val="auto"/>
              </w:rPr>
              <w:t>(0.55 )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(1.63 )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(0.61 )</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CCEC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4453255</wp:posOffset>
            </wp:positionH>
            <wp:positionV relativeFrom="paragraph">
              <wp:posOffset>-4430395</wp:posOffset>
            </wp:positionV>
            <wp:extent cx="102235"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-4430395</wp:posOffset>
            </wp:positionV>
            <wp:extent cx="93980"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-4430395</wp:posOffset>
            </wp:positionV>
            <wp:extent cx="939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-4430395</wp:posOffset>
            </wp:positionV>
            <wp:extent cx="93980"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-2251075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-2233930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-2414270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-2251075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-2233930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-2414270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-2251075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-2233930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-2414270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-1609090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-1609090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-1609090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-641350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-624205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-641350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-624205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-641350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-624205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7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22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9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r>
      <w:tr>
        <w:trPr>
          <w:trHeight w:val="247"/>
        </w:trPr>
        <w:tc>
          <w:tcPr>
            <w:tcW w:w="59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1"/>
              </w:rPr>
              <w:t>(16.1 )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47"/>
        </w:trPr>
        <w:tc>
          <w:tcPr>
            <w:tcW w:w="59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Pension and other postretirement benefit activity</w:t>
            </w:r>
          </w:p>
        </w:tc>
        <w:tc>
          <w:tcPr>
            <w:tcW w:w="700" w:type="dxa"/>
            <w:vAlign w:val="bottom"/>
            <w:shd w:val="clear" w:color="auto" w:fill="CCECFF"/>
          </w:tcPr>
          <w:p>
            <w:pPr>
              <w:spacing w:after="0"/>
              <w:rPr>
                <w:sz w:val="21"/>
                <w:szCs w:val="21"/>
                <w:color w:val="auto"/>
              </w:rPr>
            </w:pP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1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26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hedging instruments</w:t>
            </w:r>
          </w:p>
        </w:tc>
        <w:tc>
          <w:tcPr>
            <w:tcW w:w="7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5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700" w:type="dxa"/>
            <w:vAlign w:val="bottom"/>
            <w:shd w:val="clear" w:color="auto" w:fill="CCECFF"/>
          </w:tcPr>
          <w:p>
            <w:pPr>
              <w:spacing w:after="0"/>
              <w:rPr>
                <w:sz w:val="20"/>
                <w:szCs w:val="20"/>
                <w:color w:val="auto"/>
              </w:rPr>
            </w:pPr>
          </w:p>
        </w:tc>
        <w:tc>
          <w:tcPr>
            <w:tcW w:w="7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w w:val="91"/>
              </w:rPr>
              <w:t>(15.4 )</w:t>
            </w:r>
          </w:p>
        </w:tc>
        <w:tc>
          <w:tcPr>
            <w:tcW w:w="240" w:type="dxa"/>
            <w:vAlign w:val="bottom"/>
            <w:shd w:val="clear" w:color="auto" w:fill="CCECFF"/>
          </w:tcPr>
          <w:p>
            <w:pPr>
              <w:spacing w:after="0"/>
              <w:rPr>
                <w:sz w:val="20"/>
                <w:szCs w:val="20"/>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1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(14.0 )</w:t>
            </w:r>
          </w:p>
        </w:tc>
        <w:tc>
          <w:tcPr>
            <w:tcW w:w="260" w:type="dxa"/>
            <w:vAlign w:val="bottom"/>
            <w:shd w:val="clear" w:color="auto" w:fill="CCECFF"/>
          </w:tcPr>
          <w:p>
            <w:pPr>
              <w:spacing w:after="0"/>
              <w:rPr>
                <w:sz w:val="20"/>
                <w:szCs w:val="20"/>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CFF"/>
          </w:tcPr>
          <w:p>
            <w:pPr>
              <w:spacing w:after="0"/>
              <w:rPr>
                <w:sz w:val="20"/>
                <w:szCs w:val="20"/>
                <w:color w:val="auto"/>
              </w:rPr>
            </w:pPr>
          </w:p>
        </w:tc>
      </w:tr>
      <w:tr>
        <w:trPr>
          <w:trHeight w:val="20"/>
        </w:trPr>
        <w:tc>
          <w:tcPr>
            <w:tcW w:w="5960" w:type="dxa"/>
            <w:vAlign w:val="bottom"/>
            <w:shd w:val="clear" w:color="auto" w:fill="CCEC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(328.8 )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(76.9 )</w:t>
            </w:r>
          </w:p>
        </w:tc>
      </w:tr>
      <w:tr>
        <w:trPr>
          <w:trHeight w:val="20"/>
        </w:trPr>
        <w:tc>
          <w:tcPr>
            <w:tcW w:w="5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-187960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2"/>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3"/>
                <w:szCs w:val="13"/>
                <w:color w:val="auto"/>
              </w:rPr>
            </w:pPr>
          </w:p>
        </w:tc>
        <w:tc>
          <w:tcPr>
            <w:tcW w:w="178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CFF"/>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CFF"/>
          </w:tcPr>
          <w:p>
            <w:pPr>
              <w:spacing w:after="0"/>
              <w:rPr>
                <w:sz w:val="20"/>
                <w:szCs w:val="20"/>
                <w:color w:val="auto"/>
              </w:rPr>
            </w:pPr>
          </w:p>
        </w:tc>
        <w:tc>
          <w:tcPr>
            <w:tcW w:w="320" w:type="dxa"/>
            <w:vAlign w:val="bottom"/>
            <w:tcBorders>
              <w:top w:val="single" w:sz="8" w:color="auto"/>
            </w:tcBorders>
            <w:shd w:val="clear" w:color="auto" w:fill="CCECFF"/>
          </w:tcPr>
          <w:p>
            <w:pPr>
              <w:spacing w:after="0"/>
              <w:rPr>
                <w:sz w:val="20"/>
                <w:szCs w:val="20"/>
                <w:color w:val="auto"/>
              </w:rPr>
            </w:pPr>
          </w:p>
        </w:tc>
        <w:tc>
          <w:tcPr>
            <w:tcW w:w="1600" w:type="dxa"/>
            <w:vAlign w:val="bottom"/>
            <w:tcBorders>
              <w:top w:val="single" w:sz="8" w:color="auto"/>
            </w:tcBorders>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84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of $23.4 and $32.2, respectively</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2,566.8</w:t>
            </w: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$890.9 and $866.1, respectively</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3,500.3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3,514.4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C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300" w:type="dxa"/>
            <w:vAlign w:val="bottom"/>
            <w:tcBorders>
              <w:bottom w:val="single" w:sz="8" w:color="CCEC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8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CFF"/>
          </w:tcPr>
          <w:p>
            <w:pPr>
              <w:spacing w:after="0"/>
              <w:rPr>
                <w:sz w:val="20"/>
                <w:szCs w:val="20"/>
                <w:color w:val="auto"/>
              </w:rPr>
            </w:pPr>
          </w:p>
        </w:tc>
        <w:tc>
          <w:tcPr>
            <w:tcW w:w="320" w:type="dxa"/>
            <w:vAlign w:val="bottom"/>
            <w:tcBorders>
              <w:top w:val="single" w:sz="8" w:color="auto"/>
            </w:tcBorders>
            <w:shd w:val="clear" w:color="auto" w:fill="CCECFF"/>
          </w:tcPr>
          <w:p>
            <w:pPr>
              <w:spacing w:after="0"/>
              <w:rPr>
                <w:sz w:val="20"/>
                <w:szCs w:val="20"/>
                <w:color w:val="auto"/>
              </w:rPr>
            </w:pP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2,473.1</w:t>
            </w:r>
          </w:p>
        </w:tc>
        <w:tc>
          <w:tcPr>
            <w:tcW w:w="30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CEC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300" w:type="dxa"/>
            <w:vAlign w:val="bottom"/>
            <w:tcBorders>
              <w:bottom w:val="single" w:sz="8" w:color="CCEC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Borders>
              <w:bottom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CFF"/>
            </w:tcBorders>
            <w:shd w:val="clear" w:color="auto" w:fill="CCECFF"/>
          </w:tcPr>
          <w:p>
            <w:pPr>
              <w:spacing w:after="0"/>
              <w:rPr>
                <w:sz w:val="20"/>
                <w:szCs w:val="20"/>
                <w:color w:val="auto"/>
              </w:rPr>
            </w:pPr>
          </w:p>
        </w:tc>
        <w:tc>
          <w:tcPr>
            <w:tcW w:w="320" w:type="dxa"/>
            <w:vAlign w:val="bottom"/>
            <w:tcBorders>
              <w:bottom w:val="single" w:sz="8" w:color="auto"/>
            </w:tcBorders>
            <w:shd w:val="clear" w:color="auto" w:fill="CCECFF"/>
          </w:tcPr>
          <w:p>
            <w:pPr>
              <w:spacing w:after="0"/>
              <w:rPr>
                <w:sz w:val="20"/>
                <w:szCs w:val="20"/>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10,945.5</w:t>
            </w:r>
          </w:p>
        </w:tc>
        <w:tc>
          <w:tcPr>
            <w:tcW w:w="30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auto"/>
            </w:tcBorders>
            <w:shd w:val="clear" w:color="auto" w:fill="CCECFF"/>
          </w:tcPr>
          <w:p>
            <w:pPr>
              <w:spacing w:after="0"/>
              <w:rPr>
                <w:sz w:val="20"/>
                <w:szCs w:val="20"/>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11,178.6</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$0.01 par value</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Preferred stock, $0.01 par value: Authorized shares: 200,000,000;</w:t>
            </w:r>
          </w:p>
        </w:tc>
        <w:tc>
          <w:tcPr>
            <w:tcW w:w="1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6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Issued and outstanding shares: 1,194,261 and 1,162,085, respectively,</w:t>
            </w:r>
          </w:p>
        </w:tc>
        <w:tc>
          <w:tcPr>
            <w:tcW w:w="18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6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6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900" w:type="dxa"/>
            <w:vAlign w:val="bottom"/>
            <w:gridSpan w:val="2"/>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Authorized shares: 1,300,000,000;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shares: 215,851,423 and 212,108,634,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(5,267.9 )</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(4,953.1 )</w:t>
            </w:r>
          </w:p>
        </w:tc>
        <w:tc>
          <w:tcPr>
            <w:tcW w:w="0" w:type="dxa"/>
            <w:vAlign w:val="bottom"/>
          </w:tcPr>
          <w:p>
            <w:pPr>
              <w:spacing w:after="0"/>
              <w:rPr>
                <w:sz w:val="1"/>
                <w:szCs w:val="1"/>
                <w:color w:val="auto"/>
              </w:rPr>
            </w:pPr>
          </w:p>
        </w:tc>
      </w:tr>
      <w:tr>
        <w:trPr>
          <w:trHeight w:val="247"/>
        </w:trPr>
        <w:tc>
          <w:tcPr>
            <w:tcW w:w="68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900" w:type="dxa"/>
            <w:vAlign w:val="bottom"/>
            <w:gridSpan w:val="2"/>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(280.7 )</w:t>
            </w:r>
          </w:p>
        </w:tc>
        <w:tc>
          <w:tcPr>
            <w:tcW w:w="220" w:type="dxa"/>
            <w:vAlign w:val="bottom"/>
            <w:shd w:val="clear" w:color="auto" w:fill="CCECFF"/>
          </w:tcPr>
          <w:p>
            <w:pPr>
              <w:spacing w:after="0"/>
              <w:rPr>
                <w:sz w:val="21"/>
                <w:szCs w:val="21"/>
                <w:color w:val="auto"/>
              </w:rPr>
            </w:pP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(266.7 )</w:t>
            </w:r>
          </w:p>
        </w:tc>
        <w:tc>
          <w:tcPr>
            <w:tcW w:w="0" w:type="dxa"/>
            <w:vAlign w:val="bottom"/>
          </w:tcPr>
          <w:p>
            <w:pPr>
              <w:spacing w:after="0"/>
              <w:rPr>
                <w:sz w:val="1"/>
                <w:szCs w:val="1"/>
                <w:color w:val="auto"/>
              </w:rPr>
            </w:pPr>
          </w:p>
        </w:tc>
      </w:tr>
      <w:tr>
        <w:trPr>
          <w:trHeight w:val="211"/>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15,633,218 shares and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14,424,126 shares, respectively</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(303.5 )</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(301.7 )</w:t>
            </w:r>
          </w:p>
        </w:tc>
        <w:tc>
          <w:tcPr>
            <w:tcW w:w="0" w:type="dxa"/>
            <w:vAlign w:val="bottom"/>
          </w:tcPr>
          <w:p>
            <w:pPr>
              <w:spacing w:after="0"/>
              <w:rPr>
                <w:sz w:val="1"/>
                <w:szCs w:val="1"/>
                <w:color w:val="auto"/>
              </w:rPr>
            </w:pPr>
          </w:p>
        </w:tc>
      </w:tr>
      <w:tr>
        <w:trPr>
          <w:trHeight w:val="238"/>
        </w:trPr>
        <w:tc>
          <w:tcPr>
            <w:tcW w:w="6840" w:type="dxa"/>
            <w:vAlign w:val="bottom"/>
            <w:tcBorders>
              <w:top w:val="single" w:sz="8" w:color="CCECFF"/>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top w:val="single" w:sz="8" w:color="CCECFF"/>
              <w:bottom w:val="single" w:sz="8" w:color="CCECFF"/>
            </w:tcBorders>
            <w:shd w:val="clear" w:color="auto" w:fill="CCECFF"/>
          </w:tcPr>
          <w:p>
            <w:pPr>
              <w:spacing w:after="0"/>
              <w:rPr>
                <w:sz w:val="20"/>
                <w:szCs w:val="20"/>
                <w:color w:val="auto"/>
              </w:rPr>
            </w:pPr>
          </w:p>
        </w:tc>
        <w:tc>
          <w:tcPr>
            <w:tcW w:w="320" w:type="dxa"/>
            <w:vAlign w:val="bottom"/>
            <w:tcBorders>
              <w:top w:val="single" w:sz="8" w:color="auto"/>
              <w:bottom w:val="single" w:sz="8" w:color="auto"/>
            </w:tcBorders>
            <w:shd w:val="clear" w:color="auto" w:fill="CCECFF"/>
          </w:tcPr>
          <w:p>
            <w:pPr>
              <w:spacing w:after="0"/>
              <w:rPr>
                <w:sz w:val="20"/>
                <w:szCs w:val="20"/>
                <w:color w:val="auto"/>
              </w:rPr>
            </w:pPr>
          </w:p>
        </w:tc>
        <w:tc>
          <w:tcPr>
            <w:tcW w:w="1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300" w:type="dxa"/>
            <w:vAlign w:val="bottom"/>
            <w:tcBorders>
              <w:top w:val="single" w:sz="8" w:color="CCECFF"/>
              <w:bottom w:val="single" w:sz="8" w:color="CCECFF"/>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CECFF"/>
          </w:tcPr>
          <w:p>
            <w:pPr>
              <w:spacing w:after="0"/>
              <w:rPr>
                <w:sz w:val="20"/>
                <w:szCs w:val="20"/>
                <w:color w:val="auto"/>
              </w:rPr>
            </w:pPr>
          </w:p>
        </w:tc>
        <w:tc>
          <w:tcPr>
            <w:tcW w:w="1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-4032250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-4015105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-4194810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-4032250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-4015105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-4194810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-2623820</wp:posOffset>
            </wp:positionV>
            <wp:extent cx="9398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-2623820</wp:posOffset>
            </wp:positionV>
            <wp:extent cx="9398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-363220</wp:posOffset>
            </wp:positionV>
            <wp:extent cx="9398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-363220</wp:posOffset>
            </wp:positionV>
            <wp:extent cx="9398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ind w:left="358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w:t>
      </w:r>
      <w:r>
        <w:rPr>
          <w:rFonts w:ascii="Times New Roman" w:cs="Times New Roman" w:eastAsia="Times New Roman" w:hAnsi="Times New Roman"/>
          <w:sz w:val="24"/>
          <w:szCs w:val="24"/>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8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(314.8 )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r>
      <w:tr>
        <w:trPr>
          <w:trHeight w:val="247"/>
        </w:trPr>
        <w:tc>
          <w:tcPr>
            <w:tcW w:w="84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(180.5 )</w:t>
            </w: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(101.6 )</w:t>
            </w: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(411.2 )</w:t>
            </w:r>
          </w:p>
        </w:tc>
      </w:tr>
      <w:tr>
        <w:trPr>
          <w:trHeight w:val="247"/>
        </w:trPr>
        <w:tc>
          <w:tcPr>
            <w:tcW w:w="84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(126.9 )</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(11.3 )</w:t>
            </w: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(45.1 )</w:t>
            </w:r>
          </w:p>
        </w:tc>
        <w:tc>
          <w:tcPr>
            <w:tcW w:w="4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4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(47.6 )</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repaid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(16.0 )</w:t>
            </w: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r>
      <w:tr>
        <w:trPr>
          <w:trHeight w:val="247"/>
        </w:trPr>
        <w:tc>
          <w:tcPr>
            <w:tcW w:w="84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Long-term debt repurchases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r>
      <w:tr>
        <w:trPr>
          <w:trHeight w:val="238"/>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(1.8 )</w:t>
            </w: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47"/>
        </w:trPr>
        <w:tc>
          <w:tcPr>
            <w:tcW w:w="848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(17.8 )</w:t>
            </w: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(97.8 )</w:t>
            </w:r>
          </w:p>
        </w:tc>
      </w:tr>
      <w:tr>
        <w:trPr>
          <w:trHeight w:val="247"/>
        </w:trPr>
        <w:tc>
          <w:tcPr>
            <w:tcW w:w="8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(5.6 )</w:t>
            </w: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CFF"/>
          </w:tcPr>
          <w:p>
            <w:pPr>
              <w:spacing w:after="0"/>
              <w:rPr>
                <w:sz w:val="21"/>
                <w:szCs w:val="21"/>
                <w:color w:val="auto"/>
              </w:rPr>
            </w:pPr>
          </w:p>
        </w:tc>
      </w:tr>
      <w:tr>
        <w:trPr>
          <w:trHeight w:val="20"/>
        </w:trPr>
        <w:tc>
          <w:tcPr>
            <w:tcW w:w="848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(197.9 )</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r>
      <w:tr>
        <w:trPr>
          <w:trHeight w:val="247"/>
        </w:trPr>
        <w:tc>
          <w:tcPr>
            <w:tcW w:w="84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shd w:val="clear" w:color="auto" w:fill="CCECFF"/>
          </w:tcPr>
          <w:p>
            <w:pPr>
              <w:spacing w:after="0"/>
              <w:rPr>
                <w:sz w:val="21"/>
                <w:szCs w:val="21"/>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3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32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20"/>
                <w:szCs w:val="20"/>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-2687955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-1754505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-821055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-504825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right="500" w:firstLine="1"/>
        <w:spacing w:after="0" w:line="281" w:lineRule="auto"/>
        <w:tabs>
          <w:tab w:leader="none" w:pos="2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flows related to discontinued operations have not been segregated. Accordingly, the Condensed Consolidated Statements of Cash Flows include the results of continuing and discontinued operations.</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amounts)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5"/>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580" w:type="dxa"/>
            <w:vAlign w:val="bottom"/>
            <w:gridSpan w:val="5"/>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w:t>
            </w:r>
          </w:p>
        </w:tc>
        <w:tc>
          <w:tcPr>
            <w:tcW w:w="22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0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0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212,264,754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209,777,988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212,108,634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208,371,426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4,720,047</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3,049,872</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4,951,881</w:t>
            </w:r>
          </w:p>
        </w:tc>
        <w:tc>
          <w:tcPr>
            <w:tcW w:w="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5,157,100</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surrendered under equity-based compensation plans</w:t>
            </w:r>
          </w:p>
        </w:tc>
        <w:tc>
          <w:tcPr>
            <w:tcW w:w="220" w:type="dxa"/>
            <w:vAlign w:val="bottom"/>
          </w:tcPr>
          <w:p>
            <w:pPr>
              <w:spacing w:after="0"/>
              <w:rPr>
                <w:sz w:val="21"/>
                <w:szCs w:val="21"/>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(1,133,378 )</w:t>
            </w:r>
          </w:p>
        </w:tc>
        <w:tc>
          <w:tcPr>
            <w:tcW w:w="180" w:type="dxa"/>
            <w:vAlign w:val="bottom"/>
          </w:tcPr>
          <w:p>
            <w:pPr>
              <w:spacing w:after="0"/>
              <w:rPr>
                <w:sz w:val="21"/>
                <w:szCs w:val="21"/>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(915,396 )</w:t>
            </w:r>
          </w:p>
        </w:tc>
        <w:tc>
          <w:tcPr>
            <w:tcW w:w="200" w:type="dxa"/>
            <w:vAlign w:val="bottom"/>
          </w:tcPr>
          <w:p>
            <w:pPr>
              <w:spacing w:after="0"/>
              <w:rPr>
                <w:sz w:val="21"/>
                <w:szCs w:val="21"/>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(1,209,092 )</w:t>
            </w: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(1,616,062 )</w:t>
            </w:r>
          </w:p>
        </w:tc>
        <w:tc>
          <w:tcPr>
            <w:tcW w:w="0" w:type="dxa"/>
            <w:vAlign w:val="bottom"/>
          </w:tcPr>
          <w:p>
            <w:pPr>
              <w:spacing w:after="0"/>
              <w:rPr>
                <w:sz w:val="1"/>
                <w:szCs w:val="1"/>
                <w:color w:val="auto"/>
              </w:rPr>
            </w:pPr>
          </w:p>
        </w:tc>
      </w:tr>
      <w:tr>
        <w:trPr>
          <w:trHeight w:val="27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215,851,423</w:t>
            </w:r>
          </w:p>
        </w:tc>
        <w:tc>
          <w:tcPr>
            <w:tcW w:w="30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spacing w:after="0"/>
              <w:rPr>
                <w:sz w:val="24"/>
                <w:szCs w:val="24"/>
                <w:color w:val="auto"/>
              </w:rPr>
            </w:pP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211,912,464</w:t>
            </w:r>
          </w:p>
        </w:tc>
        <w:tc>
          <w:tcPr>
            <w:tcW w:w="26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215,851,423</w:t>
            </w:r>
          </w:p>
        </w:tc>
        <w:tc>
          <w:tcPr>
            <w:tcW w:w="2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spacing w:after="0"/>
              <w:rPr>
                <w:sz w:val="24"/>
                <w:szCs w:val="2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211,912,464</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shares under equity-based compensation plans</w:t>
            </w:r>
          </w:p>
        </w:tc>
        <w:tc>
          <w:tcPr>
            <w:tcW w:w="220" w:type="dxa"/>
            <w:vAlign w:val="bottom"/>
          </w:tcPr>
          <w:p>
            <w:pPr>
              <w:spacing w:after="0"/>
              <w:rPr>
                <w:sz w:val="21"/>
                <w:szCs w:val="21"/>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30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2,550.4</w:t>
            </w:r>
          </w:p>
        </w:tc>
        <w:tc>
          <w:tcPr>
            <w:tcW w:w="28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2,542.9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2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(16.2 )</w:t>
            </w:r>
          </w:p>
        </w:tc>
        <w:tc>
          <w:tcPr>
            <w:tcW w:w="18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(15.3 )</w:t>
            </w:r>
          </w:p>
        </w:tc>
        <w:tc>
          <w:tcPr>
            <w:tcW w:w="20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(32.2 )</w:t>
            </w:r>
          </w:p>
        </w:tc>
        <w:tc>
          <w:tcPr>
            <w:tcW w:w="20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30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2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28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(5,312.3 )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(3,498.8 )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(4,953.1 )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(3,502.2 )</w:t>
            </w:r>
          </w:p>
        </w:tc>
        <w:tc>
          <w:tcPr>
            <w:tcW w:w="0" w:type="dxa"/>
            <w:vAlign w:val="bottom"/>
          </w:tcPr>
          <w:p>
            <w:pPr>
              <w:spacing w:after="0"/>
              <w:rPr>
                <w:sz w:val="1"/>
                <w:szCs w:val="1"/>
                <w:color w:val="auto"/>
              </w:rPr>
            </w:pPr>
          </w:p>
        </w:tc>
      </w:tr>
      <w:tr>
        <w:trPr>
          <w:trHeight w:val="238"/>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(100.4 )</w:t>
            </w:r>
          </w:p>
        </w:tc>
        <w:tc>
          <w:tcPr>
            <w:tcW w:w="200" w:type="dxa"/>
            <w:vAlign w:val="bottom"/>
          </w:tcPr>
          <w:p>
            <w:pPr>
              <w:spacing w:after="0"/>
              <w:rPr>
                <w:sz w:val="20"/>
                <w:szCs w:val="20"/>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(314.8 )</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0" w:type="dxa"/>
            <w:vAlign w:val="bottom"/>
          </w:tcPr>
          <w:p>
            <w:pPr>
              <w:spacing w:after="0"/>
              <w:rPr>
                <w:sz w:val="1"/>
                <w:szCs w:val="1"/>
                <w:color w:val="auto"/>
              </w:rPr>
            </w:pPr>
          </w:p>
        </w:tc>
      </w:tr>
      <w:tr>
        <w:trPr>
          <w:trHeight w:val="240"/>
        </w:trPr>
        <w:tc>
          <w:tcPr>
            <w:tcW w:w="546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300" w:type="dxa"/>
            <w:vAlign w:val="bottom"/>
            <w:tcBorders>
              <w:top w:val="single" w:sz="8" w:color="CCECFF"/>
              <w:bottom w:val="single" w:sz="8" w:color="CCECFF"/>
            </w:tcBorders>
            <w:shd w:val="clear" w:color="auto" w:fill="CCEC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260" w:type="dxa"/>
            <w:vAlign w:val="bottom"/>
            <w:tcBorders>
              <w:top w:val="single" w:sz="8" w:color="CCECFF"/>
              <w:bottom w:val="single" w:sz="8" w:color="CCECFF"/>
            </w:tcBorders>
            <w:shd w:val="clear" w:color="auto" w:fill="CCEC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280" w:type="dxa"/>
            <w:vAlign w:val="bottom"/>
            <w:tcBorders>
              <w:top w:val="single" w:sz="8" w:color="CCECFF"/>
              <w:bottom w:val="single" w:sz="8" w:color="CCECFF"/>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2"/>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(265.3 )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(277.5 )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(266.7 )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(296.3 )</w:t>
            </w:r>
          </w:p>
        </w:tc>
        <w:tc>
          <w:tcPr>
            <w:tcW w:w="0" w:type="dxa"/>
            <w:vAlign w:val="bottom"/>
          </w:tcPr>
          <w:p>
            <w:pPr>
              <w:spacing w:after="0"/>
              <w:rPr>
                <w:sz w:val="1"/>
                <w:szCs w:val="1"/>
                <w:color w:val="auto"/>
              </w:rPr>
            </w:pPr>
          </w:p>
        </w:tc>
      </w:tr>
      <w:tr>
        <w:trPr>
          <w:trHeight w:val="243"/>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21"/>
                <w:szCs w:val="21"/>
                <w:color w:val="auto"/>
              </w:rPr>
            </w:pP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(15.4 )</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(14.0 )</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(280.7 )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(276.2 )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(280.7 )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(276.2 )</w:t>
            </w:r>
          </w:p>
        </w:tc>
        <w:tc>
          <w:tcPr>
            <w:tcW w:w="0" w:type="dxa"/>
            <w:vAlign w:val="bottom"/>
          </w:tcPr>
          <w:p>
            <w:pPr>
              <w:spacing w:after="0"/>
              <w:rPr>
                <w:sz w:val="1"/>
                <w:szCs w:val="1"/>
                <w:color w:val="auto"/>
              </w:rPr>
            </w:pPr>
          </w:p>
        </w:tc>
      </w:tr>
      <w:tr>
        <w:trPr>
          <w:trHeight w:val="232"/>
        </w:trPr>
        <w:tc>
          <w:tcPr>
            <w:tcW w:w="54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(301.9 )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(297.6 )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(301.7 )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(292.6 )</w:t>
            </w:r>
          </w:p>
        </w:tc>
        <w:tc>
          <w:tcPr>
            <w:tcW w:w="0" w:type="dxa"/>
            <w:vAlign w:val="bottom"/>
          </w:tcPr>
          <w:p>
            <w:pPr>
              <w:spacing w:after="0"/>
              <w:rPr>
                <w:sz w:val="1"/>
                <w:szCs w:val="1"/>
                <w:color w:val="auto"/>
              </w:rPr>
            </w:pPr>
          </w:p>
        </w:tc>
      </w:tr>
      <w:tr>
        <w:trPr>
          <w:trHeight w:val="211"/>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shares surrendered under equity-based compensation</w:t>
            </w:r>
          </w:p>
        </w:tc>
        <w:tc>
          <w:tcPr>
            <w:tcW w:w="220" w:type="dxa"/>
            <w:vAlign w:val="bottom"/>
          </w:tcPr>
          <w:p>
            <w:pPr>
              <w:spacing w:after="0"/>
              <w:rPr>
                <w:sz w:val="18"/>
                <w:szCs w:val="18"/>
                <w:color w:val="auto"/>
              </w:rPr>
            </w:pPr>
          </w:p>
        </w:tc>
        <w:tc>
          <w:tcPr>
            <w:tcW w:w="132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18"/>
                <w:szCs w:val="18"/>
                <w:color w:val="auto"/>
              </w:rPr>
            </w:pPr>
          </w:p>
        </w:tc>
        <w:tc>
          <w:tcPr>
            <w:tcW w:w="128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8"/>
                <w:szCs w:val="18"/>
                <w:color w:val="auto"/>
              </w:rPr>
              <w:t>(3.9 )</w:t>
            </w:r>
          </w:p>
        </w:tc>
        <w:tc>
          <w:tcPr>
            <w:tcW w:w="200" w:type="dxa"/>
            <w:vAlign w:val="bottom"/>
          </w:tcPr>
          <w:p>
            <w:pPr>
              <w:spacing w:after="0"/>
              <w:rPr>
                <w:sz w:val="18"/>
                <w:szCs w:val="18"/>
                <w:color w:val="auto"/>
              </w:rPr>
            </w:pPr>
          </w:p>
        </w:tc>
        <w:tc>
          <w:tcPr>
            <w:tcW w:w="12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tcPr>
          <w:p>
            <w:pPr>
              <w:spacing w:after="0"/>
              <w:rPr>
                <w:sz w:val="18"/>
                <w:szCs w:val="1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4"/>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plans</w:t>
            </w: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CFF"/>
          </w:tcPr>
          <w:p>
            <w:pPr>
              <w:jc w:val="right"/>
              <w:ind w:right="161"/>
              <w:spacing w:after="0"/>
              <w:rPr>
                <w:sz w:val="20"/>
                <w:szCs w:val="20"/>
                <w:color w:val="auto"/>
              </w:rPr>
            </w:pPr>
            <w:r>
              <w:rPr>
                <w:rFonts w:ascii="Times New Roman" w:cs="Times New Roman" w:eastAsia="Times New Roman" w:hAnsi="Times New Roman"/>
                <w:sz w:val="18"/>
                <w:szCs w:val="18"/>
                <w:color w:val="auto"/>
              </w:rPr>
              <w:t>(303.5 )</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21"/>
              <w:spacing w:after="0"/>
              <w:rPr>
                <w:sz w:val="20"/>
                <w:szCs w:val="20"/>
                <w:color w:val="auto"/>
              </w:rPr>
            </w:pPr>
            <w:r>
              <w:rPr>
                <w:rFonts w:ascii="Times New Roman" w:cs="Times New Roman" w:eastAsia="Times New Roman" w:hAnsi="Times New Roman"/>
                <w:sz w:val="18"/>
                <w:szCs w:val="18"/>
                <w:color w:val="auto"/>
              </w:rPr>
              <w:t>(301.5 )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(303.5 )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(301.5 )</w:t>
            </w:r>
          </w:p>
        </w:tc>
        <w:tc>
          <w:tcPr>
            <w:tcW w:w="0" w:type="dxa"/>
            <w:vAlign w:val="bottom"/>
          </w:tcPr>
          <w:p>
            <w:pPr>
              <w:spacing w:after="0"/>
              <w:rPr>
                <w:sz w:val="1"/>
                <w:szCs w:val="1"/>
                <w:color w:val="auto"/>
              </w:rPr>
            </w:pPr>
          </w:p>
        </w:tc>
      </w:tr>
      <w:tr>
        <w:trPr>
          <w:trHeight w:val="20"/>
        </w:trPr>
        <w:tc>
          <w:tcPr>
            <w:tcW w:w="54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(3,318.8 )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(1,615.9 )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(3,318.8 )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(1,615.9 )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-3809365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-3792220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-3809365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-3792220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-3809365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-3792220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-3792220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-3159125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-3159125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-3159125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-2216785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-2216785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-2216785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-1758950</wp:posOffset>
            </wp:positionV>
            <wp:extent cx="102235"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-1758950</wp:posOffset>
            </wp:positionV>
            <wp:extent cx="939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6122670</wp:posOffset>
            </wp:positionH>
            <wp:positionV relativeFrom="paragraph">
              <wp:posOffset>-1758950</wp:posOffset>
            </wp:positionV>
            <wp:extent cx="9398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-1758950</wp:posOffset>
            </wp:positionV>
            <wp:extent cx="9398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-949960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-949960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-949960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2" w:lineRule="exact"/>
        <w:rPr>
          <w:sz w:val="20"/>
          <w:szCs w:val="20"/>
          <w:color w:val="auto"/>
        </w:rPr>
      </w:pPr>
    </w:p>
    <w:p>
      <w:pPr>
        <w:ind w:right="698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BASIS OF PRESENTATION Background</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CommScope Holding Company, Inc., along with its direct and indirect subsidiaries (CommScope or the Company), is a global provider of infrastructure solutions for communication, data center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completed the acquisition of certain assets of Casa Systems, Inc. and its subsidiaries (Casa) on June 7, 2024 (the Casa Transaction). </w:t>
      </w:r>
      <w:r>
        <w:rPr>
          <w:rFonts w:ascii="Times New Roman" w:cs="Times New Roman" w:eastAsia="Times New Roman" w:hAnsi="Times New Roman"/>
          <w:sz w:val="18"/>
          <w:szCs w:val="18"/>
          <w:color w:val="252525"/>
        </w:rPr>
        <w:t>As 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of the Casa Transaction, the Company acquired certain assets (the Casa Assets) and assumed certain specified liabilities (the Casa Liabilities) of Casa. The sale was conducted pursuant to the bid procedures (the Bid Procedures) established in the chapter 11 cases of Casa Systems, Inc. and certain affiliates in the United States (U.S.) Bankruptcy Court for the District of Delaware (the Bankruptcy Court). Pursuant to the Bid Procedures, the Company was designated as the successful bidder following an auction held on May 29, 2024. On June 5, 2024, the Bankruptcy Court entered an order authorizing the sale of the Casa Assets to the Company pursuant to section 363 of the Bankruptcy Court (subject to the terms thereof). The sale closed on June 7, 2024 and, at such time, the Company funded the purchase price of $45.1 million and settled certain assumed Casa Liabilities, with cash on hand. The Company plans to integrate this strategic acquisition into its Access Network Solutions (ANS) segment and expects the acquisition to strengthen its ANS segment’s position by enhancing its </w:t>
      </w:r>
      <w:r>
        <w:rPr>
          <w:rFonts w:ascii="Times New Roman" w:cs="Times New Roman" w:eastAsia="Times New Roman" w:hAnsi="Times New Roman"/>
          <w:sz w:val="18"/>
          <w:szCs w:val="18"/>
          <w:color w:val="000000"/>
        </w:rPr>
        <w:t>virtual cable modem termination systems (CMTS) and passive optical network (</w:t>
      </w:r>
      <w:r>
        <w:rPr>
          <w:rFonts w:ascii="Times New Roman" w:cs="Times New Roman" w:eastAsia="Times New Roman" w:hAnsi="Times New Roman"/>
          <w:sz w:val="18"/>
          <w:szCs w:val="18"/>
          <w:color w:val="252525"/>
        </w:rPr>
        <w:t xml:space="preserve">PON) product offerings, which will enable customers to migrate to distributed access architecture (DAA) solutions at their own speed, and further grow its customer base. </w:t>
      </w:r>
      <w:r>
        <w:rPr>
          <w:rFonts w:ascii="Times New Roman" w:cs="Times New Roman" w:eastAsia="Times New Roman" w:hAnsi="Times New Roman"/>
          <w:sz w:val="18"/>
          <w:szCs w:val="18"/>
          <w:color w:val="000000"/>
        </w:rPr>
        <w:t>See Note 2 for additional discussion of</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Casa Transaction.</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January 9, 2024, the Company completed the sale of its Home Networks (Home) segment and substantially all of the associated segment assets and liabilities (Home business) to Vantiva SA (Vantiva) pursuant to the Call Option Agreement entered into on October 2, 2023 and Purchase Agreement dated as of December 7, 2023. In the fourth quarter of 2023, the Company determined the sale of the Home business met the “held for sale” criteria and the “discontinued operations” criteria in accordance with accounting guidance. All prior period amounts in these condensed consolidated financial statements have been recast to reflect the discontinuation of the Home business. The discussions in these condensed consolidated financial statements relate solely to the Company’s continuing operations, unless otherwise noted. As a result, the Company is reporting financial performance based on the following remaining four operating segments, which excludes the Home business: Connectivity and Cable Solutions (CCS), Outdoor Wireless Networks (OWN), Networking, Intelligent Cellular and Security Solutions (NICS) and ANS. See Note 3 for further discussion of the discontinued operations related to the Home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As of January 1, 2024, management shifted certain product lines from the Company's CCS segment to its ANS segment to better align with how the businesses are being managed. All prior period amounts in these condensed consolidated financial statements have been recast to reflect these operating segment changes.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generally accepted accounting principles (GAAP) in the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2023 (the 2023 Annual Report). The significant accounting policies followed by the Company are set forth in Note 2 within the Company’s audited consolidated financial statements included in the 2023 Annual Report. There were no material changes in the Company’s significant accounting policies during the three or six months ended June 30, 2024.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which contemplates the realization of assets and the satisfaction of liabilities in the normal course of business. As of June 30, 2024, the Company has $1.27 billion outstanding on its 6.00% senior unsecured notes which mature on June 15, 2025 (the 2025 Notes), which is within one year of the date that the condensed consolidated financial statements are issued for the quarter ended June 30, 2024. The Company does not currently have sufficient cash or liquidity to repay the 2025 Notes when they mature on June 15, 2025.</w:t>
      </w:r>
    </w:p>
    <w:p>
      <w:pPr>
        <w:spacing w:after="0" w:line="18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Proceeds of approximately $2.1 billion from the pending sale of the Company's OWN segment and DAS business unit, may be used under certain circumstances to retire the 2025 Notes due to the flexibility under the Company's credit agreements. The Company believes this is probable of occurring and will alleviate substantial doubt about the Company’s ability to operate as a going concern.</w:t>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Concurrently, the Company is negotiating with its noteholders and lenders to explore both restructuring and/or refinancing of the 2025 Notes. No commitments have been obtained regarding this alternative as of the filing date, thus it has not reached a level of being considered probable at this time, although it remains part of the Company's plans to mitigate conditions that give rise to substantial doubt about the Company's ability to operate as a going concern.</w:t>
      </w:r>
    </w:p>
    <w:p>
      <w:pPr>
        <w:spacing w:after="0" w:line="1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212121"/>
        </w:rPr>
        <w:t>Management has assessed its plan to mitigate the conditions that give rise to substantial doubt and, considering the pending sale of the Company's OWN segment and DAS business unit, management believes such plan is probable and will alleviate substantial doubt about the Company's ability to operate as a going concern.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 and Related Party Transactions</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No direct customer accounted for 10% or more of the Company’s total net sales during the three or six months ended June 30, 2024 or 2023. Accounts receivable from Charter Communications, Inc. (Charter) represented approximately 10% of accounts receivable as of June 30, 2024. Other than Charter, no direct customer accounted for 10% or more of the Company’s accounts receivable.</w:t>
      </w:r>
    </w:p>
    <w:p>
      <w:pPr>
        <w:spacing w:after="0" w:line="177"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77"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As of June 30, 2024, funds affiliated with Carlyle Partners VII S1 Holdings, L.P. (Carlyle) owned 100% of the Company's Series A convertible preferred stock (the Convertible Preferred Stock), which was sold to Carlyle to fund a portion of the acquisition of ARRIS International plc (ARRIS) in 2019. See Note 11 for further discussion of the Convertible Preferred Stock. Other than transactions related to the Convertible Preferred Stock and the Company's continuing involvement with Vantiva discussed in Note 3, there were no material related party transactions for the three or six months ended June 30, 2024.</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a liability for the estimated claims that may be paid under its customer assurance-type warranty agreements to remedy potential deficiencies of quality or performance of the Company’s products. These product warranties extend over various periods, depending 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product warranty accrual, included in accrued and other liabilities and other noncurrent liabilities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16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warranty accrual, beginning of period</w:t>
            </w:r>
          </w:p>
        </w:tc>
        <w:tc>
          <w:tcPr>
            <w:tcW w:w="740" w:type="dxa"/>
            <w:vAlign w:val="bottom"/>
            <w:shd w:val="clear" w:color="auto" w:fill="CCEC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shd w:val="clear" w:color="auto" w:fill="CCECFF"/>
          </w:tcPr>
          <w:p>
            <w:pPr>
              <w:spacing w:after="0"/>
              <w:rPr>
                <w:sz w:val="20"/>
                <w:szCs w:val="20"/>
                <w:color w:val="auto"/>
              </w:rPr>
            </w:pPr>
          </w:p>
        </w:tc>
        <w:tc>
          <w:tcPr>
            <w:tcW w:w="720" w:type="dxa"/>
            <w:vAlign w:val="bottom"/>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CFF"/>
          </w:tcPr>
          <w:p>
            <w:pPr>
              <w:spacing w:after="0"/>
              <w:rPr>
                <w:sz w:val="20"/>
                <w:szCs w:val="20"/>
                <w:color w:val="auto"/>
              </w:rPr>
            </w:pP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CFF"/>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warranty claims</w:t>
            </w: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r>
      <w:tr>
        <w:trPr>
          <w:trHeight w:val="247"/>
        </w:trPr>
        <w:tc>
          <w:tcPr>
            <w:tcW w:w="5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Warranty claims paid</w:t>
            </w:r>
          </w:p>
        </w:tc>
        <w:tc>
          <w:tcPr>
            <w:tcW w:w="740" w:type="dxa"/>
            <w:vAlign w:val="bottom"/>
            <w:shd w:val="clear" w:color="auto" w:fill="CCECFF"/>
          </w:tcPr>
          <w:p>
            <w:pPr>
              <w:spacing w:after="0"/>
              <w:rPr>
                <w:sz w:val="21"/>
                <w:szCs w:val="21"/>
                <w:color w:val="auto"/>
              </w:rPr>
            </w:pPr>
          </w:p>
        </w:tc>
        <w:tc>
          <w:tcPr>
            <w:tcW w:w="7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(5.3 )</w:t>
            </w:r>
          </w:p>
        </w:tc>
        <w:tc>
          <w:tcPr>
            <w:tcW w:w="72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740" w:type="dxa"/>
            <w:vAlign w:val="bottom"/>
          </w:tcPr>
          <w:p>
            <w:pPr>
              <w:spacing w:after="0"/>
              <w:rPr>
                <w:sz w:val="21"/>
                <w:szCs w:val="21"/>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Product warranty accrual, end of period</w:t>
            </w:r>
          </w:p>
        </w:tc>
        <w:tc>
          <w:tcPr>
            <w:tcW w:w="740" w:type="dxa"/>
            <w:vAlign w:val="bottom"/>
            <w:tcBorders>
              <w:top w:val="single" w:sz="8" w:color="auto"/>
              <w:bottom w:val="single" w:sz="8" w:color="auto"/>
            </w:tcBorders>
            <w:shd w:val="clear" w:color="auto" w:fill="CCEC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40" w:type="dxa"/>
            <w:vAlign w:val="bottom"/>
            <w:tcBorders>
              <w:bottom w:val="single" w:sz="8" w:color="CCECFF"/>
            </w:tcBorders>
            <w:shd w:val="clear" w:color="auto" w:fill="CCECFF"/>
          </w:tcPr>
          <w:p>
            <w:pPr>
              <w:spacing w:after="0"/>
              <w:rPr>
                <w:sz w:val="24"/>
                <w:szCs w:val="24"/>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Guarantees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was contingently liable under open standby letters of credit issued by its banks to support performance obligations of a third-party contractor that totaled $35.9 million as of June 30, 2024.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condensed consolidated financial statements related to third-party guarantee agreements for the three or six months ended June 30, 2024 or 2023 or as of June 30, 2024 or December 31, 2023. As of June 30, 2024, these instruments reduced the available borrowings under the Company's senior secured asset-based revolving credit facility (the Revolving Credit Facility).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entered into a long-term supply contract with a third-party to secure the supply of certain raw materials. Under the terms of the contract, the Company will make advance payments through 2026 totaling $120.0 million (undiscounted), and based on meeting certain minimum purchase requirements through 2031, such advance payments will be credited and applied to future orders on a quarterly basis beginning in 2027 through 2031. Advance payments of $45.0 million and $30.0 million are capitalized as other noncurrent assets in the Condensed Consolidated Balance Sheets as of June 30, 2024 and December 31, 2023, respectively. The Company committed to purchases of raw materials under this agreement that began in 2023, growing to a level of approximately $137 million per year by 2026 and continuing through 2032.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annually or at other times if events have occurred or circumstances exist that indicate the carrying value of the reporting unit may exceed its fair value. As of January 1, 2024, the Company assessed goodwill for impairment due to a change in the composition of reporting units as a result of the new segment structure and certain other intrasegment realignments. The Company performed impairment testing immediately before and after the change and determined that no goodwill impairment existed. As of the most recent impairment test on January 1, 2024, the implied fair value of the Enterprise and ANS reporting units exceeded its respective carrying amount by 8% and 7%, respectively. See Note 4 for further discussion. There were no goodwill impairments identified during the three or six months ended June 30, 2024 or 2023.</w:t>
      </w:r>
    </w:p>
    <w:p>
      <w:pPr>
        <w:spacing w:after="0" w:line="18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 Company’s ANS and Building and Data Center Connectivity (BDCC) reporting units failed the annual goodwill impairment test, and partial impairments were recorded as of October 1, 2023. The BDCC reporting unit is in the CCS reportable segment.</w:t>
      </w:r>
    </w:p>
    <w:p>
      <w:pPr>
        <w:spacing w:after="0" w:line="163"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As a result of the new segment structure and certain other intrasegment realignments, as of January 1, 2024, the BDCC and Network Cable and Connectivity (NCC) reporting units are being referred to as Enterprise and Broadband, respectively, which are both in the CCS reportable segment.</w:t>
      </w:r>
    </w:p>
    <w:p>
      <w:pPr>
        <w:spacing w:after="0" w:line="1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Considering the low headroom going forward for each of the ANS and Enterprise reporting units, there is a risk for future impairment in the event of declines in general economic, market or business conditions or any significant unfavorable change in the forecasted cash flows, weighted average cost of capital or growth rates. If current and long-term projections for the ANS and Enterprise reporting units are not realized or decrease materially, the Company may be required to recognize additional goodwill impairment charges, and these charges could be material to the Company's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There were no definite-lived intangible or other long-lived asset impairments identified during the three or six months ended June 30, 2024 or 2023, other than certain assets impaired as a result of restructuring actions and as part of discontinued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recognized an income tax benefit of $43.7 million on pretax income of $31.1 million and income tax expense of $56.1 million on a pretax loss of $131.2 million, respectively. The Company's income taxes for the three and six months ended June 30, 2024, were unfavorably impacted by $67.8 million of additional valuation allowance related to current year federal and state interest limitation carryforwards, U.S. anti-deferral provisions and excess tax costs of $7.3 million related to equity compensation awards, partially offset by tax benefits related to federal tax credits. For the three and six months ended June 30, 2024, the Company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recognized an income tax benefit of $3.6 million on a pretax loss of $66.7 million and an income tax benefit of $7.6 million on a pretax loss of $40.9 million, respectively. The Company’s tax benefit was unfavorably impacted by U.S. anti-deferral provisions and noncreditable withholding taxes for the three and six months ended June 30, 2023. Excess tax costs of $5.4 million and $6.9 million related to equity compensation awards also impacted the tax benefit unfavorably for the three and six months ended June 30, 2023, respectively. These unfavorable impacts were partially offset by the favorable impacts of federal income tax credits as well as $1.5 million and $9.8 million of tax benefits related to the release of various uncertain tax positions for the three and six months ended June 30,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Basic earnings (loss) per share (EPS) from continuing operations is computed by dividing income (loss) from continuing operations, less any dividends and deemed dividends related to the Convertible Preferred Stock, by the weighted average number of common shares outstanding during the period. The numerator in diluted EPS from continuing operations is based on the basic EPS from continuing operations numerator, adjusted to add back any dividends and deemed dividends related to the Convertible Preferred Stock, subject to antidilution requirements. The denominator used in diluted EPS from continuing operations is based on the basic EPS computation plus the effect of potentially dilutive common shares related to the Convertible Preferred Stock and equity-based compensation plans, subject to antidilution requirements.</w:t>
      </w:r>
    </w:p>
    <w:p>
      <w:pPr>
        <w:spacing w:after="0" w:line="18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EPS from discontinued operations is computed by dividing loss from discontinued operations, net of income taxes by the weighted average number of common shares outstanding during the period. The numerator in diluted EPS from discontinued operations is the same as the basic EPS from discontinued operations numerator. The denominator used in diluted EPS from discontinued operations is based on the basic EPS computation plus the effect of potentially dilutive common shares related to the Convertible Preferred Stock and equity-based compensation plans, subject to antidilution requirements.</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17.2 million and 18.6 million shares, respectively, of outstanding equity-based compensation awards were not included in the computation of diluted EPS because the effect was antidilutive or the performance conditions were not met. Of those amounts, for the six months ended June 30, 2024, 1.7 million shares would have been considered dilutive if the Company had not been in a loss from continuing operations position. For the three and six months ended June 30, 2023, 17.2 million and 16.3 million shares, respectively, of outstanding equity-based compensation awards were not included in the computation of diluted EPS because the effect was antidilutive or the performance conditions were not met. Of those amounts, for the three and six months ended June 30, 2023, 2.0 million and 2.6 million shares, respectively, would have been considered dilutive if the Company had not been in a loss from continuing operations position.</w:t>
      </w:r>
    </w:p>
    <w:p>
      <w:pPr>
        <w:spacing w:after="0" w:line="18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the three and six months ended June 30, 2024, 42.8 million and 42.5 million, respectively, of as-if converted shares related to the Convertible Preferred Stock were excluded from the diluted share count because they were antidilutive. For the three and six months ended June 30, 2023, 40.6 million and 40.3 million, respectively, of as-if converted shares related to the Convertible Preferred Stock were excluded from the diluted share count because they were antidilutive.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basis for the EPS computations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92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CFF"/>
          </w:tcPr>
          <w:p>
            <w:pPr>
              <w:spacing w:after="0"/>
              <w:rPr>
                <w:sz w:val="20"/>
                <w:szCs w:val="20"/>
                <w:color w:val="auto"/>
              </w:rPr>
            </w:pPr>
          </w:p>
        </w:tc>
        <w:tc>
          <w:tcPr>
            <w:tcW w:w="68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(63.1 )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(187.3 )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(30.4 )</w:t>
            </w: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(37.3 )</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(127.5 )</w:t>
            </w:r>
          </w:p>
        </w:tc>
        <w:tc>
          <w:tcPr>
            <w:tcW w:w="20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0"/>
        </w:trPr>
        <w:tc>
          <w:tcPr>
            <w:tcW w:w="69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(314.8 )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(16.2 )</w:t>
            </w: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(15.3 )</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(32.2 )</w:t>
            </w:r>
          </w:p>
        </w:tc>
        <w:tc>
          <w:tcPr>
            <w:tcW w:w="20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(30.4 )</w:t>
            </w:r>
          </w:p>
        </w:tc>
      </w:tr>
      <w:tr>
        <w:trPr>
          <w:trHeight w:val="23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CFF"/>
          </w:tcPr>
          <w:p>
            <w:pPr>
              <w:spacing w:after="0"/>
              <w:rPr>
                <w:sz w:val="21"/>
                <w:szCs w:val="21"/>
                <w:color w:val="auto"/>
              </w:rPr>
            </w:pPr>
          </w:p>
        </w:tc>
      </w:tr>
      <w:tr>
        <w:trPr>
          <w:trHeight w:val="238"/>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as-if converted Series A convertible preferred stock</w:t>
            </w:r>
          </w:p>
        </w:tc>
        <w:tc>
          <w:tcPr>
            <w:tcW w:w="2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00" w:type="dxa"/>
            <w:vAlign w:val="bottom"/>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00" w:type="dxa"/>
            <w:vAlign w:val="bottom"/>
            <w:tcBorders>
              <w:top w:val="single" w:sz="8" w:color="CCECFF"/>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tcBorders>
              <w:top w:val="single" w:sz="8" w:color="CCEC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20" w:type="dxa"/>
            <w:vAlign w:val="bottom"/>
            <w:tcBorders>
              <w:top w:val="single" w:sz="8" w:color="CCEC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top w:val="single" w:sz="8" w:color="CCECFF"/>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9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(0.37 )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(1.03 )</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43"/>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(0.14 )</w:t>
            </w:r>
          </w:p>
        </w:tc>
        <w:tc>
          <w:tcPr>
            <w:tcW w:w="20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(0.18 )</w:t>
            </w:r>
          </w:p>
        </w:tc>
        <w:tc>
          <w:tcPr>
            <w:tcW w:w="220" w:type="dxa"/>
            <w:vAlign w:val="bottom"/>
          </w:tcPr>
          <w:p>
            <w:pPr>
              <w:spacing w:after="0"/>
              <w:rPr>
                <w:sz w:val="21"/>
                <w:szCs w:val="21"/>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(0.60 )</w:t>
            </w:r>
          </w:p>
        </w:tc>
        <w:tc>
          <w:tcPr>
            <w:tcW w:w="2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CFF"/>
          </w:tcPr>
          <w:p>
            <w:pPr>
              <w:spacing w:after="0"/>
              <w:rPr>
                <w:sz w:val="24"/>
                <w:szCs w:val="24"/>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(0.55 )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(1.63 )</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(0.61 )</w:t>
            </w:r>
          </w:p>
        </w:tc>
      </w:tr>
      <w:tr>
        <w:trPr>
          <w:trHeight w:val="223"/>
        </w:trPr>
        <w:tc>
          <w:tcPr>
            <w:tcW w:w="690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CEC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43"/>
        </w:trPr>
        <w:tc>
          <w:tcPr>
            <w:tcW w:w="6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(loss) from continuing operations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47"/>
        </w:trPr>
        <w:tc>
          <w:tcPr>
            <w:tcW w:w="69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per share</w:t>
            </w: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(0.14 )</w:t>
            </w:r>
          </w:p>
        </w:tc>
        <w:tc>
          <w:tcPr>
            <w:tcW w:w="20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(0.18 )</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(0.60 )</w:t>
            </w:r>
          </w:p>
        </w:tc>
        <w:tc>
          <w:tcPr>
            <w:tcW w:w="20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(0.31 )</w:t>
            </w:r>
          </w:p>
        </w:tc>
      </w:tr>
      <w:tr>
        <w:trPr>
          <w:trHeight w:val="20"/>
        </w:trPr>
        <w:tc>
          <w:tcPr>
            <w:tcW w:w="69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(0.55 )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(1.63 )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(0.61 )</w:t>
            </w:r>
          </w:p>
        </w:tc>
      </w:tr>
      <w:tr>
        <w:trPr>
          <w:trHeight w:val="20"/>
        </w:trPr>
        <w:tc>
          <w:tcPr>
            <w:tcW w:w="6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-3073400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-3073400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-3073400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-1797685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-1797685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-1797685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-829945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-812800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-829945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-812800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-829945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-812800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-187960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During the Six Months Ended June 30, 2024</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On January 1, 2024, the Company adopted the rollforward disclosure requirement of Accounting Standards Update (ASU) No. 2022-04,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Supplier Finance Programs (Subtopic 405-50): Disclosure of Supplier Finance Program Obligations</w:t>
      </w:r>
      <w:r>
        <w:rPr>
          <w:rFonts w:ascii="Times New Roman" w:cs="Times New Roman" w:eastAsia="Times New Roman" w:hAnsi="Times New Roman"/>
          <w:sz w:val="18"/>
          <w:szCs w:val="18"/>
          <w:color w:val="auto"/>
        </w:rPr>
        <w:t>. The new guidance improves the transparency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 finance programs by 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effect on an entity's financial statements. The requirement to disclose rollforward information was effective prospectively for the Company as of January 1, 2024. The impact of adopting this new guidance was not material to the condensed consolidated financial statements and related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but Not Adopted</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requiring 1) consistent categories and greater disaggregation of information in the rate reconciliation and 2) income taxes paid to be disaggregated by jurisdiction. The guidance is effective for the Company on a prospective basis, although retrospective application is permitted, as of January 1, 2025 for the annual period. Early adoption is permitted. The Company is currently evaluating the impact of the new guidance on the condensed consolidated financial statements.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new guidance is expected to improve reportable segment disclosure requirements primarily through enhanced disclosures for significant segment expenses. The guidance is effective for the Company on a retrospective basis as of January 1, 2024 for the annual period and January 1, 2025 for the interim periods. Early adoption is permitted. The Company is currently evaluating the impact of the new guidance on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52525"/>
        </w:rPr>
        <w:t>On June 7, 2024, the Company completed the acquisition of certain assets of Casa Systems, Inc. and its subsidiaries (Casa), which provides telecommunication infrastructure equipment and software-centric infrastructure solutions that allow cable service providers to deliver voice, video and data services over a single platform. The acquired assets included, among other things, accounts receivable, specified inventory, intellectual property and intellectual property rights, certain specified contracts, including facility leases, equipment and other personal property (collectively, the Casa Assets). As part of the Casa Transaction, the Company assumed certain specified liabilities, including certain cure costs related to assumed contracts and liabilities under such contracts and relating to the employment of continuing employees, in each case, arising after the consummation of the acquisition (collectively, the Casa Liabilities).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52525"/>
        </w:rPr>
        <w:t>The sale was conducted pursuant to the bid procedures (the Bid Procedures) established in the chapter 11 cases of Casa Systems, Inc. and certain affiliates in the U.S. Bankruptcy Court for the District of Delaware (the Bankruptcy Court). Pursuant to the Bid Procedures, the Company was designated as the successful bidder following an auction held on May 29, 2024. On June 5, 2024, the Bankruptcy Court entered an order authorizing the sale of the Casa Assets to the Company pursuant to section 363 of the Bankruptcy Court (subject to the terms thereof). The sale closed on June 7, 2024 and, at such time, the Company funded the purchase price of $45.1 million and settled certain assumed Casa Liabilities, with cash on hand.</w:t>
      </w:r>
    </w:p>
    <w:p>
      <w:pPr>
        <w:spacing w:after="0" w:line="1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252525"/>
        </w:rPr>
        <w:t>The Company plans to integrate this strategic acquisition into its ANS segment and expects the acquisition to strengthen its ANS segment’s position by enhancing its virtual CMTS and PON product offerings, which will enable customers to migrate to DAA solutions at their own speed, and further grow its customer base.</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52525"/>
        </w:rPr>
        <w:t xml:space="preserve">The Company recorded the purchase of the Casa Transaction using the acquisition method of accounting in accordance with Accounting Standards Codification (ASC) Topic 805, </w:t>
      </w:r>
      <w:r>
        <w:rPr>
          <w:rFonts w:ascii="Times New Roman" w:cs="Times New Roman" w:eastAsia="Times New Roman" w:hAnsi="Times New Roman"/>
          <w:sz w:val="18"/>
          <w:szCs w:val="18"/>
          <w:i w:val="1"/>
          <w:iCs w:val="1"/>
          <w:color w:val="252525"/>
        </w:rPr>
        <w:t>Business Combinations</w:t>
      </w:r>
      <w:r>
        <w:rPr>
          <w:rFonts w:ascii="Times New Roman" w:cs="Times New Roman" w:eastAsia="Times New Roman" w:hAnsi="Times New Roman"/>
          <w:sz w:val="18"/>
          <w:szCs w:val="18"/>
          <w:color w:val="252525"/>
        </w:rPr>
        <w:t>, and, accordingly, recognized the assets acquired and liabilities assumed at their fair values as of the date of acquisition. As of June 30, 2024, the valuation studies necessary to determine the fair market value of the assets acquired and liabilities assumed are preliminary, including the validation of the underlying cash flows used to determine the fair value of the identified intangible assets. The final determination of the fair value of certain assets and liabilities will be completed within the one-year measurement period from the date of acquisition, which is necessary to adequately analyze all the factors used in establishing the asset and liability fair values as of the acquisition date, including, but not limited to intangible assets, accounts receivable, inventory and personal property.</w:t>
      </w:r>
    </w:p>
    <w:p>
      <w:pPr>
        <w:spacing w:after="0" w:line="187"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The following amounts represent the preliminary determination of the fair value of identifiable assets acquired and liabilities assumed in the Casa Transaction as of the acquisition date:</w:t>
      </w:r>
    </w:p>
    <w:p>
      <w:pPr>
        <w:sectPr>
          <w:pgSz w:w="11900" w:h="16838" w:orient="portrait"/>
          <w:cols w:equalWidth="0" w:num="1">
            <w:col w:w="11200"/>
          </w:cols>
          <w:pgMar w:left="320" w:top="764" w:right="379" w:bottom="1440" w:gutter="0" w:footer="0" w:header="0"/>
        </w:sect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consideration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Inventories, net</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Goodwill</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payable and accrued and</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allocated to net assets acquired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June 7, 2024</w:t>
            </w:r>
          </w:p>
        </w:tc>
      </w:tr>
      <w:tr>
        <w:trPr>
          <w:trHeight w:val="465"/>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728"/>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5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5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5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701"/>
        </w:trPr>
        <w:tc>
          <w:tcPr>
            <w:tcW w:w="5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5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8"/>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2">
            <w:col w:w="7900" w:space="720"/>
            <w:col w:w="2580"/>
          </w:cols>
          <w:pgMar w:left="320" w:top="764" w:right="379" w:bottom="1440" w:gutter="0" w:footer="0" w:header="0"/>
          <w:type w:val="continuous"/>
        </w:sectPr>
      </w:pPr>
    </w:p>
    <w:p>
      <w:pPr>
        <w:ind w:left="520" w:right="60" w:hanging="467"/>
        <w:spacing w:after="0" w:line="281" w:lineRule="auto"/>
        <w:tabs>
          <w:tab w:leader="none" w:pos="520"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fair value of accounts receivable, net is $4.4 million with a gross contractual amount of $11.7 million. The Company expects $7.3 million to be uncollectible.</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goodwill arising from the Casa Transaction is believed to result from the company’s reputation in the marketplace and assembled workforce and is expected to be fully deductible for income tax purposes.</w:t>
      </w:r>
    </w:p>
    <w:p>
      <w:pPr>
        <w:spacing w:after="0" w:line="16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 xml:space="preserve">Various valuation techniques were used to estimate the fair value of the assets acquired and the liabilities assumed which use significant unobservable inputs, or Level 3 inputs as defined by the fair value hierarchy. Using these valuation approaches requires the Company to make significant estimates and assumptions. </w:t>
      </w:r>
      <w:r>
        <w:rPr>
          <w:rFonts w:ascii="Times New Roman" w:cs="Times New Roman" w:eastAsia="Times New Roman" w:hAnsi="Times New Roman"/>
          <w:sz w:val="18"/>
          <w:szCs w:val="18"/>
          <w:color w:val="252525"/>
        </w:rPr>
        <w:t>The estimated fair values are expected to change as the Company completes its valuation analyses of the assets acquired and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assumed.</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 xml:space="preserve">The table below summarizes the preliminary valuations of the intangible assets acquired that were determined by management to meet the criteria for recognition apart from goodwill and determined to have finite lives. </w:t>
      </w:r>
      <w:r>
        <w:rPr>
          <w:rFonts w:ascii="Times New Roman" w:cs="Times New Roman" w:eastAsia="Times New Roman" w:hAnsi="Times New Roman"/>
          <w:sz w:val="18"/>
          <w:szCs w:val="18"/>
          <w:color w:val="252525"/>
        </w:rPr>
        <w:t>The values presented below are preliminary estimates and are subject to change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management completes its valuation of the Casa Transaction: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Estimated Useful Life</w:t>
            </w:r>
          </w:p>
        </w:tc>
        <w:tc>
          <w:tcPr>
            <w:tcW w:w="0" w:type="dxa"/>
            <w:vAlign w:val="bottom"/>
          </w:tcPr>
          <w:p>
            <w:pPr>
              <w:spacing w:after="0"/>
              <w:rPr>
                <w:sz w:val="1"/>
                <w:szCs w:val="1"/>
                <w:color w:val="auto"/>
              </w:rPr>
            </w:pPr>
          </w:p>
        </w:tc>
      </w:tr>
      <w:tr>
        <w:trPr>
          <w:trHeight w:val="187"/>
        </w:trPr>
        <w:tc>
          <w:tcPr>
            <w:tcW w:w="560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36"/>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shd w:val="clear" w:color="auto" w:fill="CCECFF"/>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360" w:type="dxa"/>
            <w:vAlign w:val="bottom"/>
            <w:gridSpan w:val="2"/>
            <w:shd w:val="clear" w:color="auto" w:fill="CCECFF"/>
          </w:tcPr>
          <w:p>
            <w:pPr>
              <w:jc w:val="right"/>
              <w:ind w:right="134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360" w:type="dxa"/>
            <w:vAlign w:val="bottom"/>
            <w:gridSpan w:val="2"/>
          </w:tcPr>
          <w:p>
            <w:pPr>
              <w:jc w:val="right"/>
              <w:ind w:right="138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6"/>
        </w:trPr>
        <w:tc>
          <w:tcPr>
            <w:tcW w:w="56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880" w:type="dxa"/>
            <w:vAlign w:val="bottom"/>
            <w:tcBorders>
              <w:bottom w:val="single" w:sz="8" w:color="auto"/>
            </w:tcBorders>
            <w:shd w:val="clear" w:color="auto" w:fill="CCECFF"/>
          </w:tcPr>
          <w:p>
            <w:pPr>
              <w:jc w:val="right"/>
              <w:ind w:right="16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Borders>
              <w:bottom w:val="single" w:sz="8" w:color="CCECFF"/>
            </w:tcBorders>
            <w:shd w:val="clear" w:color="auto" w:fill="CCECFF"/>
          </w:tcPr>
          <w:p>
            <w:pPr>
              <w:spacing w:after="0"/>
              <w:rPr>
                <w:sz w:val="24"/>
                <w:szCs w:val="24"/>
                <w:color w:val="auto"/>
              </w:rPr>
            </w:pPr>
          </w:p>
        </w:tc>
        <w:tc>
          <w:tcPr>
            <w:tcW w:w="30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252525"/>
        </w:rPr>
        <w:t>There were no net sales related to Casa's business included in the Condensed Consolidated Statements of Operations for the three or six months ended June 30, 2024.</w:t>
      </w:r>
    </w:p>
    <w:p>
      <w:pPr>
        <w:spacing w:after="0" w:line="163"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252525"/>
        </w:rPr>
        <w:t xml:space="preserve">The Company recognized $1.0 million of transaction and integration related costs </w:t>
      </w:r>
      <w:r>
        <w:rPr>
          <w:rFonts w:ascii="Times New Roman" w:cs="Times New Roman" w:eastAsia="Times New Roman" w:hAnsi="Times New Roman"/>
          <w:sz w:val="17"/>
          <w:szCs w:val="17"/>
          <w:color w:val="000000"/>
        </w:rPr>
        <w:t>related to the Casa Transaction for both the three and six months ended</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June 30, 2024, and these costs were recognized in selling, general and administrative expense in the Condensed Consolidated Statements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9, 2024, the Company completed the sale of the Home business to Vantiva pursuant to the Call Option Agreement entered into on October 2, 2023 and the Purchase Agreement dated as of December 7, 2023, in exchange for (i) 134,704,669 shares of Vantiva common stock representing a 24.73% equity stake in Vantiva (determined on a fully diluted basis), (ii) $250,465 in cash (in addition to cash paid in exchange for the cash on the Home business companies’ balance sheets) and (iii) an earn-out of up to $100 million in the aggregate. The earn-out payments are contingent upon Vantiva achieving adjusted EBITDA equal to or greater than €400 million for one or more of Vantiva’s first five fiscal years following the closing of the transaction. The earn-out payment with respect to any fiscal year will be subject to an additional annual cap, the amount of which will depend on certain elections made by the Company following Vantiva reaching the €400 million adjusted EBITDA threshold for the first time, and on Vantiva’s maintenance of certain liquidity levels (after giving effect to such payment).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Home business qualified as “held for sale” per ASC 360-10 and was classified as a discontinued operation per ASC 205-20, as the Company determined, qualitatively and quantitatively, that this transaction represents a strategic shift that has or will have a major effect on the Company’s operations and financial results. As such, activity directly attributable to the Home business has been removed from continuing operations and presented in loss from discontinued operations, net of income taxes, on the Condensed Consolidated Statements of Operations for all periods presented. In addition, all assets and liabilities of the Home business were classified as assets and liabilities held for sale on the Consolidated Balance Sheets as of December 31, 2023, and in connection with the “held for sale” classification, the Company recognized a loss on classification as held for sale of $177.0 million in the fourth quarter of 2023. Upon the closing of the transaction on January 9, 2024, the Company recognized an additional loss of $69.8 million, which was included in loss from discontinued operations, net of income taxes, on the Condensed Consolidated Statements of Operations for the six months ended June 30,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conjunction with the closing of the transaction, the Company entered into a transition service agreement (TSA) with Vantiva (Vantiva TSA), whereby the Company provides and receives certain post-closing support on a transitional basis which is included in continuing operations in transition service agreement income. The terms of the Vantiva TSA vary based on the services provided thereunder, with the longest such term having a duration of sixteen months. The Vantiva TSA provides options to extend services for up to two renewal terms of three months each. Following the closing of the transaction, the Company also entered into a Supply Agreement with Vantiva (Vantiva Supply Agreement), whereby the Company sells certain retained inventory at cost, or market price if below cost, for a period of two years. The Company’s investment in Vantiva is accounted for using the equity method of accounting, and the carrying value of the investment is included in other noncurrent assets in the Condensed Consolidated Balance Sheets. The Company recognized a loss on its investment of $17.0 million in the second quarter of 2024, as a result of recording its proportionate share of loss on its equity investment, which is recorded on a one-quarter lag basis in discontinued operations in the Condensed Consolidated Statements of Operations beginning in the second quarter of 2024. The investment in the ordinary shares is subject to a lock-up period, until the earlier of eighteen months, or the occurrence of a change of control or the entry into an agreement that would result in a change of control, following closing.</w:t>
      </w:r>
    </w:p>
    <w:p>
      <w:pPr>
        <w:spacing w:after="0" w:line="1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During the second quarter of 2024, the Company recognized a loss on impairment of $17.2 million related to the Home business patents. In addition, during the first quarter of 2024, the Company recorded a loss on disposal of the Home business. The losses were recorded in loss from discontinued operations, net of income taxes on the Condensed Consolidated Statements of Operations. The fair values were determined using Level 1 and Level 3 valuation inputs which included contractual payment amounts and market comparable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components of loss from discontinued operations, net of 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9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CFF"/>
          </w:tcPr>
          <w:p>
            <w:pPr>
              <w:spacing w:after="0"/>
              <w:rPr>
                <w:sz w:val="20"/>
                <w:szCs w:val="20"/>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CECFF"/>
          </w:tcPr>
          <w:p>
            <w:pPr>
              <w:spacing w:after="0"/>
              <w:rPr>
                <w:sz w:val="20"/>
                <w:szCs w:val="20"/>
                <w:color w:val="auto"/>
              </w:rPr>
            </w:pPr>
          </w:p>
        </w:tc>
      </w:tr>
      <w:tr>
        <w:trPr>
          <w:trHeight w:val="243"/>
        </w:trPr>
        <w:tc>
          <w:tcPr>
            <w:tcW w:w="6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(1)</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1"/>
                <w:szCs w:val="21"/>
                <w:color w:val="auto"/>
              </w:rPr>
            </w:pPr>
          </w:p>
        </w:tc>
      </w:tr>
      <w:tr>
        <w:trPr>
          <w:trHeight w:val="236"/>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shd w:val="clear" w:color="auto" w:fill="CCECFF"/>
          </w:tcPr>
          <w:p>
            <w:pPr>
              <w:spacing w:after="0"/>
              <w:rPr>
                <w:sz w:val="20"/>
                <w:szCs w:val="20"/>
                <w:color w:val="auto"/>
              </w:rPr>
            </w:pP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(0.8 )</w:t>
            </w:r>
          </w:p>
        </w:tc>
        <w:tc>
          <w:tcPr>
            <w:tcW w:w="22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(13.8 )</w:t>
            </w:r>
          </w:p>
        </w:tc>
        <w:tc>
          <w:tcPr>
            <w:tcW w:w="200" w:type="dxa"/>
            <w:vAlign w:val="bottom"/>
            <w:shd w:val="clear" w:color="auto" w:fill="CCECFF"/>
          </w:tcPr>
          <w:p>
            <w:pPr>
              <w:spacing w:after="0"/>
              <w:rPr>
                <w:sz w:val="20"/>
                <w:szCs w:val="20"/>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CFF"/>
          </w:tcPr>
          <w:p>
            <w:pPr>
              <w:spacing w:after="0"/>
              <w:rPr>
                <w:sz w:val="20"/>
                <w:szCs w:val="20"/>
                <w:color w:val="auto"/>
              </w:rPr>
            </w:pP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CFF"/>
          </w:tcPr>
          <w:p>
            <w:pPr>
              <w:spacing w:after="0"/>
              <w:rPr>
                <w:sz w:val="21"/>
                <w:szCs w:val="21"/>
                <w:color w:val="auto"/>
              </w:rPr>
            </w:pPr>
          </w:p>
        </w:tc>
      </w:tr>
      <w:tr>
        <w:trPr>
          <w:trHeight w:val="238"/>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0"/>
                <w:szCs w:val="20"/>
                <w:color w:val="auto"/>
              </w:rPr>
            </w:pPr>
          </w:p>
        </w:tc>
      </w:tr>
      <w:tr>
        <w:trPr>
          <w:trHeight w:val="247"/>
        </w:trPr>
        <w:tc>
          <w:tcPr>
            <w:tcW w:w="68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CFF"/>
          </w:tcPr>
          <w:p>
            <w:pPr>
              <w:spacing w:after="0"/>
              <w:rPr>
                <w:sz w:val="21"/>
                <w:szCs w:val="21"/>
                <w:color w:val="auto"/>
              </w:rPr>
            </w:pPr>
          </w:p>
        </w:tc>
      </w:tr>
      <w:tr>
        <w:trPr>
          <w:trHeight w:val="238"/>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7"/>
        </w:trPr>
        <w:tc>
          <w:tcPr>
            <w:tcW w:w="68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800" w:type="dxa"/>
            <w:vAlign w:val="bottom"/>
            <w:tcBorders>
              <w:top w:val="single" w:sz="8" w:color="CCEC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Borders>
              <w:top w:val="single" w:sz="8" w:color="CCEC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top w:val="single" w:sz="8" w:color="CCECFF"/>
            </w:tcBorders>
          </w:tcPr>
          <w:p>
            <w:pPr>
              <w:spacing w:after="0"/>
              <w:rPr>
                <w:sz w:val="20"/>
                <w:szCs w:val="20"/>
                <w:color w:val="auto"/>
              </w:rPr>
            </w:pPr>
          </w:p>
        </w:tc>
      </w:tr>
      <w:tr>
        <w:trPr>
          <w:trHeight w:val="247"/>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(19.0 )</w:t>
            </w:r>
          </w:p>
        </w:tc>
        <w:tc>
          <w:tcPr>
            <w:tcW w:w="22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(25.9 )</w:t>
            </w: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(50.2 )</w:t>
            </w:r>
          </w:p>
        </w:tc>
        <w:tc>
          <w:tcPr>
            <w:tcW w:w="20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(56.5 )</w:t>
            </w:r>
          </w:p>
        </w:tc>
      </w:tr>
      <w:tr>
        <w:trPr>
          <w:trHeight w:val="243"/>
        </w:trPr>
        <w:tc>
          <w:tcPr>
            <w:tcW w:w="6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Loss from operations of discontinued Home business before income taxes</w:t>
            </w:r>
          </w:p>
        </w:tc>
        <w:tc>
          <w:tcPr>
            <w:tcW w:w="200" w:type="dxa"/>
            <w:vAlign w:val="bottom"/>
            <w:shd w:val="clear" w:color="auto" w:fill="CCECFF"/>
          </w:tcPr>
          <w:p>
            <w:pPr>
              <w:spacing w:after="0"/>
              <w:rPr>
                <w:sz w:val="20"/>
                <w:szCs w:val="20"/>
                <w:color w:val="auto"/>
              </w:rPr>
            </w:pPr>
          </w:p>
        </w:tc>
        <w:tc>
          <w:tcPr>
            <w:tcW w:w="9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(37.2 )</w:t>
            </w:r>
          </w:p>
        </w:tc>
        <w:tc>
          <w:tcPr>
            <w:tcW w:w="22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(25.3 )</w:t>
            </w:r>
          </w:p>
        </w:tc>
        <w:tc>
          <w:tcPr>
            <w:tcW w:w="200" w:type="dxa"/>
            <w:vAlign w:val="bottom"/>
            <w:shd w:val="clear" w:color="auto" w:fill="CCECFF"/>
          </w:tcPr>
          <w:p>
            <w:pPr>
              <w:spacing w:after="0"/>
              <w:rPr>
                <w:sz w:val="20"/>
                <w:szCs w:val="20"/>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(68.4 )</w:t>
            </w:r>
          </w:p>
        </w:tc>
        <w:tc>
          <w:tcPr>
            <w:tcW w:w="200" w:type="dxa"/>
            <w:vAlign w:val="bottom"/>
            <w:shd w:val="clear" w:color="auto" w:fill="CCECFF"/>
          </w:tcPr>
          <w:p>
            <w:pPr>
              <w:spacing w:after="0"/>
              <w:rPr>
                <w:sz w:val="20"/>
                <w:szCs w:val="20"/>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Home business before income taxes</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(48.3 )</w:t>
            </w: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(10.8 )</w:t>
            </w:r>
          </w:p>
        </w:tc>
        <w:tc>
          <w:tcPr>
            <w:tcW w:w="20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68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(63.7 )</w:t>
            </w:r>
          </w:p>
        </w:tc>
      </w:tr>
      <w:tr>
        <w:trPr>
          <w:trHeight w:val="20"/>
        </w:trPr>
        <w:tc>
          <w:tcPr>
            <w:tcW w:w="6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-1129665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-1129665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-1129665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20" w:hanging="512"/>
        <w:spacing w:after="0" w:line="28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includes a charge of $19.5 million for excess and obsolete inventory related to the Home business during the six months ended June 30, 2024.</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includes a loss on equity investment of $17.0 million for the three and six months ended June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85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CommScope Holding Company, Inc.</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Notes to Unaudited Condensed Consolidated Financial Statements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5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(In millions, unless otherwise noted)</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balance sheet information for assets and liabilities held for sale: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8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top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CFF"/>
          </w:tcPr>
          <w:p>
            <w:pPr>
              <w:spacing w:after="0"/>
              <w:rPr>
                <w:sz w:val="20"/>
                <w:szCs w:val="20"/>
                <w:color w:val="auto"/>
              </w:rPr>
            </w:pPr>
          </w:p>
        </w:tc>
        <w:tc>
          <w:tcPr>
            <w:tcW w:w="1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5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classification of held for sale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(177.0 )</w:t>
            </w:r>
          </w:p>
        </w:tc>
        <w:tc>
          <w:tcPr>
            <w:tcW w:w="0" w:type="dxa"/>
            <w:vAlign w:val="bottom"/>
          </w:tcPr>
          <w:p>
            <w:pPr>
              <w:spacing w:after="0"/>
              <w:rPr>
                <w:sz w:val="1"/>
                <w:szCs w:val="1"/>
                <w:color w:val="auto"/>
              </w:rPr>
            </w:pPr>
          </w:p>
        </w:tc>
      </w:tr>
      <w:tr>
        <w:trPr>
          <w:trHeight w:val="280"/>
        </w:trPr>
        <w:tc>
          <w:tcPr>
            <w:tcW w:w="8580" w:type="dxa"/>
            <w:vAlign w:val="bottom"/>
            <w:tcBorders>
              <w:bottom w:val="single" w:sz="8" w:color="CCECFF"/>
            </w:tcBorders>
            <w:shd w:val="clear" w:color="auto" w:fill="CCECFF"/>
          </w:tcPr>
          <w:p>
            <w:pPr>
              <w:ind w:left="30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CFF"/>
          </w:tcPr>
          <w:p>
            <w:pPr>
              <w:spacing w:after="0"/>
              <w:rPr>
                <w:sz w:val="24"/>
                <w:szCs w:val="24"/>
                <w:color w:val="auto"/>
              </w:rPr>
            </w:pPr>
          </w:p>
        </w:tc>
        <w:tc>
          <w:tcPr>
            <w:tcW w:w="1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CFF"/>
          </w:tcPr>
          <w:p>
            <w:pPr>
              <w:spacing w:after="0"/>
              <w:rPr>
                <w:sz w:val="21"/>
                <w:szCs w:val="21"/>
                <w:color w:val="auto"/>
              </w:rPr>
            </w:pPr>
          </w:p>
        </w:tc>
        <w:tc>
          <w:tcPr>
            <w:tcW w:w="1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1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loss on disposal of Home business:</w:t>
            </w: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9, 2024</w:t>
            </w:r>
          </w:p>
        </w:tc>
        <w:tc>
          <w:tcPr>
            <w:tcW w:w="0" w:type="dxa"/>
            <w:vAlign w:val="bottom"/>
          </w:tcPr>
          <w:p>
            <w:pPr>
              <w:spacing w:after="0"/>
              <w:rPr>
                <w:sz w:val="1"/>
                <w:szCs w:val="1"/>
                <w:color w:val="auto"/>
              </w:rPr>
            </w:pPr>
          </w:p>
        </w:tc>
      </w:tr>
      <w:tr>
        <w:trPr>
          <w:trHeight w:val="236"/>
        </w:trPr>
        <w:tc>
          <w:tcPr>
            <w:tcW w:w="8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Consideration received (net of cash acquired):</w:t>
            </w:r>
          </w:p>
        </w:tc>
        <w:tc>
          <w:tcPr>
            <w:tcW w:w="36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98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shares issued to seller</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Total disposal consideration</w:t>
            </w:r>
          </w:p>
        </w:tc>
        <w:tc>
          <w:tcPr>
            <w:tcW w:w="360" w:type="dxa"/>
            <w:vAlign w:val="bottom"/>
            <w:shd w:val="clear" w:color="auto" w:fill="CCECFF"/>
          </w:tcPr>
          <w:p>
            <w:pPr>
              <w:spacing w:after="0"/>
              <w:rPr>
                <w:sz w:val="20"/>
                <w:szCs w:val="20"/>
                <w:color w:val="auto"/>
              </w:rPr>
            </w:pPr>
          </w:p>
        </w:tc>
        <w:tc>
          <w:tcPr>
            <w:tcW w:w="220" w:type="dxa"/>
            <w:vAlign w:val="bottom"/>
            <w:tcBorders>
              <w:top w:val="single" w:sz="8" w:color="auto"/>
            </w:tcBorders>
            <w:shd w:val="clear" w:color="auto" w:fill="CCECFF"/>
          </w:tcPr>
          <w:p>
            <w:pPr>
              <w:spacing w:after="0"/>
              <w:rPr>
                <w:sz w:val="20"/>
                <w:szCs w:val="20"/>
                <w:color w:val="auto"/>
              </w:rPr>
            </w:pPr>
          </w:p>
        </w:tc>
        <w:tc>
          <w:tcPr>
            <w:tcW w:w="1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 of net assets sold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04"/>
        </w:trPr>
        <w:tc>
          <w:tcPr>
            <w:tcW w:w="8580" w:type="dxa"/>
            <w:vAlign w:val="bottom"/>
            <w:shd w:val="clear" w:color="auto" w:fill="CCECFF"/>
          </w:tcPr>
          <w:p>
            <w:pPr>
              <w:ind w:left="200"/>
              <w:spacing w:after="0" w:line="204" w:lineRule="exact"/>
              <w:rPr>
                <w:sz w:val="20"/>
                <w:szCs w:val="20"/>
                <w:color w:val="auto"/>
              </w:rPr>
            </w:pPr>
            <w:r>
              <w:rPr>
                <w:rFonts w:ascii="Times New Roman" w:cs="Times New Roman" w:eastAsia="Times New Roman" w:hAnsi="Times New Roman"/>
                <w:sz w:val="18"/>
                <w:szCs w:val="18"/>
                <w:color w:val="auto"/>
              </w:rPr>
              <w:t>Loss on disposal of Home business before income taxes</w:t>
            </w:r>
          </w:p>
        </w:tc>
        <w:tc>
          <w:tcPr>
            <w:tcW w:w="360" w:type="dxa"/>
            <w:vAlign w:val="bottom"/>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spacing w:after="0"/>
              <w:rPr>
                <w:sz w:val="17"/>
                <w:szCs w:val="17"/>
                <w:color w:val="auto"/>
              </w:rPr>
            </w:pPr>
          </w:p>
        </w:tc>
        <w:tc>
          <w:tcPr>
            <w:tcW w:w="198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58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and reclassification of foreign currency translation</w:t>
            </w:r>
          </w:p>
        </w:tc>
        <w:tc>
          <w:tcPr>
            <w:tcW w:w="3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foreign currency translation</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Loss on disposal of Home business before income taxes</w:t>
            </w:r>
          </w:p>
        </w:tc>
        <w:tc>
          <w:tcPr>
            <w:tcW w:w="3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5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Loss on disposal of Home business, net of income taxes</w:t>
            </w:r>
          </w:p>
        </w:tc>
        <w:tc>
          <w:tcPr>
            <w:tcW w:w="360" w:type="dxa"/>
            <w:vAlign w:val="bottom"/>
            <w:shd w:val="clear" w:color="auto" w:fill="CCECFF"/>
          </w:tcPr>
          <w:p>
            <w:pPr>
              <w:spacing w:after="0"/>
              <w:rPr>
                <w:sz w:val="22"/>
                <w:szCs w:val="22"/>
                <w:color w:val="auto"/>
              </w:rPr>
            </w:pPr>
          </w:p>
        </w:tc>
        <w:tc>
          <w:tcPr>
            <w:tcW w:w="2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(69.8 )</w:t>
            </w:r>
          </w:p>
        </w:tc>
        <w:tc>
          <w:tcPr>
            <w:tcW w:w="0" w:type="dxa"/>
            <w:vAlign w:val="bottom"/>
          </w:tcPr>
          <w:p>
            <w:pPr>
              <w:spacing w:after="0"/>
              <w:rPr>
                <w:sz w:val="1"/>
                <w:szCs w:val="1"/>
                <w:color w:val="auto"/>
              </w:rPr>
            </w:pPr>
          </w:p>
        </w:tc>
      </w:tr>
      <w:tr>
        <w:trPr>
          <w:trHeight w:val="20"/>
        </w:trPr>
        <w:tc>
          <w:tcPr>
            <w:tcW w:w="858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-2910840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-2893695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in the Condensed Consolidated Statements of Cash Flows, and accordingly, they include the results from continuing and discontinued operations. The Company's cash inflows related to the TSA and inventory sales, as described above, were $14.3 million and $18.2 million, respectively, for the six months ended June 30, 2024. The following table summarizes significant non-cash operating items of the discontinued operations included in the Condensed 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0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3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40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on disposal of Home business</w:t>
            </w:r>
          </w:p>
        </w:tc>
        <w:tc>
          <w:tcPr>
            <w:tcW w:w="4100" w:type="dxa"/>
            <w:vAlign w:val="bottom"/>
            <w:gridSpan w:val="2"/>
            <w:shd w:val="clear" w:color="auto" w:fill="CCECFF"/>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impairments</w:t>
            </w:r>
          </w:p>
        </w:tc>
        <w:tc>
          <w:tcPr>
            <w:tcW w:w="2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760" w:type="dxa"/>
            <w:vAlign w:val="bottom"/>
            <w:shd w:val="clear" w:color="auto" w:fill="CCECFF"/>
          </w:tcPr>
          <w:p>
            <w:pPr>
              <w:spacing w:after="0"/>
              <w:rPr>
                <w:sz w:val="21"/>
                <w:szCs w:val="21"/>
                <w:color w:val="auto"/>
              </w:rPr>
            </w:pPr>
          </w:p>
        </w:tc>
        <w:tc>
          <w:tcPr>
            <w:tcW w:w="134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CFF"/>
          </w:tcPr>
          <w:p>
            <w:pPr>
              <w:spacing w:after="0"/>
              <w:rPr>
                <w:sz w:val="21"/>
                <w:szCs w:val="21"/>
                <w:color w:val="auto"/>
              </w:rPr>
            </w:pPr>
          </w:p>
        </w:tc>
        <w:tc>
          <w:tcPr>
            <w:tcW w:w="880" w:type="dxa"/>
            <w:vAlign w:val="bottom"/>
            <w:shd w:val="clear" w:color="auto" w:fill="CCECFF"/>
          </w:tcPr>
          <w:p>
            <w:pPr>
              <w:spacing w:after="0"/>
              <w:rPr>
                <w:sz w:val="21"/>
                <w:szCs w:val="21"/>
                <w:color w:val="auto"/>
              </w:rPr>
            </w:pPr>
          </w:p>
        </w:tc>
        <w:tc>
          <w:tcPr>
            <w:tcW w:w="1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0"/>
                <w:szCs w:val="20"/>
                <w:color w:val="auto"/>
              </w:rPr>
            </w:pPr>
          </w:p>
        </w:tc>
      </w:tr>
      <w:tr>
        <w:trPr>
          <w:trHeight w:val="656"/>
        </w:trPr>
        <w:tc>
          <w:tcPr>
            <w:tcW w:w="4080" w:type="dxa"/>
            <w:vAlign w:val="bottom"/>
          </w:tcPr>
          <w:p>
            <w:pPr>
              <w:spacing w:after="0"/>
              <w:rPr>
                <w:sz w:val="24"/>
                <w:szCs w:val="24"/>
                <w:color w:val="auto"/>
              </w:rPr>
            </w:pPr>
          </w:p>
        </w:tc>
        <w:tc>
          <w:tcPr>
            <w:tcW w:w="2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40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goodwill by reportable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Activity</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1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60"/>
              <w:spacing w:after="0" w:line="139" w:lineRule="exact"/>
              <w:rPr>
                <w:sz w:val="20"/>
                <w:szCs w:val="20"/>
                <w:color w:val="auto"/>
              </w:rPr>
            </w:pPr>
            <w:r>
              <w:rPr>
                <w:rFonts w:ascii="Times New Roman" w:cs="Times New Roman" w:eastAsia="Times New Roman" w:hAnsi="Times New Roman"/>
                <w:sz w:val="13"/>
                <w:szCs w:val="13"/>
                <w:b w:val="1"/>
                <w:bCs w:val="1"/>
                <w:color w:val="auto"/>
              </w:rPr>
              <w:t>Foreign</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3"/>
                <w:szCs w:val="13"/>
                <w:b w:val="1"/>
                <w:bCs w:val="1"/>
                <w:color w:val="auto"/>
              </w:rPr>
              <w:t>Exchange and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Impairment Losses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r>
      <w:tr>
        <w:trPr>
          <w:trHeight w:val="236"/>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CCS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4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(150.6 )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2,140.4</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(11.6 )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4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(150.6 )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00" w:type="dxa"/>
            <w:vAlign w:val="bottom"/>
            <w:shd w:val="clear" w:color="auto" w:fill="CCECFF"/>
          </w:tcPr>
          <w:p>
            <w:pPr>
              <w:spacing w:after="0"/>
              <w:rPr>
                <w:sz w:val="20"/>
                <w:szCs w:val="20"/>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(159.5 )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00" w:type="dxa"/>
            <w:vAlign w:val="bottom"/>
          </w:tcPr>
          <w:p>
            <w:pPr>
              <w:spacing w:after="0"/>
              <w:rPr>
                <w:sz w:val="20"/>
                <w:szCs w:val="20"/>
                <w:color w:val="auto"/>
              </w:rPr>
            </w:pPr>
          </w:p>
        </w:tc>
      </w:tr>
      <w:tr>
        <w:trPr>
          <w:trHeight w:val="247"/>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NICS</w:t>
            </w:r>
          </w:p>
        </w:tc>
        <w:tc>
          <w:tcPr>
            <w:tcW w:w="18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3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(41.2 )</w:t>
            </w:r>
          </w:p>
        </w:tc>
        <w:tc>
          <w:tcPr>
            <w:tcW w:w="24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3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CECFF"/>
          </w:tcPr>
          <w:p>
            <w:pPr>
              <w:spacing w:after="0"/>
              <w:rPr>
                <w:sz w:val="21"/>
                <w:szCs w:val="21"/>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3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(41.2 )</w:t>
            </w:r>
          </w:p>
        </w:tc>
        <w:tc>
          <w:tcPr>
            <w:tcW w:w="260" w:type="dxa"/>
            <w:vAlign w:val="bottom"/>
            <w:shd w:val="clear" w:color="auto" w:fill="CCECFF"/>
          </w:tcPr>
          <w:p>
            <w:pPr>
              <w:spacing w:after="0"/>
              <w:rPr>
                <w:sz w:val="21"/>
                <w:szCs w:val="2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CECFF"/>
          </w:tcPr>
          <w:p>
            <w:pPr>
              <w:spacing w:after="0"/>
              <w:rPr>
                <w:sz w:val="21"/>
                <w:szCs w:val="21"/>
                <w:color w:val="auto"/>
              </w:rPr>
            </w:pPr>
          </w:p>
        </w:tc>
      </w:tr>
      <w:tr>
        <w:trPr>
          <w:trHeight w:val="24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(1,734.0 )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(1,734.0 )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1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340" w:type="dxa"/>
            <w:vAlign w:val="bottom"/>
            <w:shd w:val="clear" w:color="auto" w:fill="CCECFF"/>
          </w:tcPr>
          <w:p>
            <w:pPr>
              <w:spacing w:after="0"/>
              <w:rPr>
                <w:sz w:val="22"/>
                <w:szCs w:val="22"/>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(2,085.3 )</w:t>
            </w:r>
          </w:p>
        </w:tc>
        <w:tc>
          <w:tcPr>
            <w:tcW w:w="24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3,514.4</w:t>
            </w:r>
          </w:p>
        </w:tc>
        <w:tc>
          <w:tcPr>
            <w:tcW w:w="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(14.1 )</w:t>
            </w: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5,585.6</w:t>
            </w:r>
          </w:p>
        </w:tc>
        <w:tc>
          <w:tcPr>
            <w:tcW w:w="4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(2,085.3 )</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3,500.3</w:t>
            </w:r>
          </w:p>
        </w:tc>
        <w:tc>
          <w:tcPr>
            <w:tcW w:w="100" w:type="dxa"/>
            <w:vAlign w:val="bottom"/>
            <w:shd w:val="clear" w:color="auto" w:fill="CCECFF"/>
          </w:tcPr>
          <w:p>
            <w:pPr>
              <w:spacing w:after="0"/>
              <w:rPr>
                <w:sz w:val="22"/>
                <w:szCs w:val="22"/>
                <w:color w:val="auto"/>
              </w:rPr>
            </w:pPr>
          </w:p>
        </w:tc>
      </w:tr>
      <w:tr>
        <w:trPr>
          <w:trHeight w:val="20"/>
        </w:trPr>
        <w:tc>
          <w:tcPr>
            <w:tcW w:w="10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-24765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Goodwill at December 31, 2023 reflects the reorganization of the Company's segment structure, as disclosed in Note 1. As a result of the new segment structure and certain other intrasegment realignments, as of January 1, 2024, the Company assessed goodwill for impairment due to changes in the composition of certain reporting units. The Company performed impairment testing immediately before the change and after the change once goodwill was reallocated and determined that no goodwill impairment existed.</w:t>
      </w:r>
    </w:p>
    <w:p>
      <w:pPr>
        <w:spacing w:after="0" w:line="286" w:lineRule="exact"/>
        <w:rPr>
          <w:sz w:val="20"/>
          <w:szCs w:val="20"/>
          <w:color w:val="auto"/>
        </w:rPr>
      </w:pPr>
    </w:p>
    <w:p>
      <w:pPr>
        <w:ind w:right="6680" w:firstLine="8"/>
        <w:spacing w:after="0" w:line="377"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Net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for the presentation of net sales by segment and geographic region.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1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9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of period</w:t>
            </w:r>
          </w:p>
        </w:tc>
        <w:tc>
          <w:tcPr>
            <w:tcW w:w="740" w:type="dxa"/>
            <w:vAlign w:val="bottom"/>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CECFF"/>
          </w:tcPr>
          <w:p>
            <w:pPr>
              <w:spacing w:after="0"/>
              <w:rPr>
                <w:sz w:val="20"/>
                <w:szCs w:val="20"/>
                <w:color w:val="auto"/>
              </w:rPr>
            </w:pPr>
          </w:p>
        </w:tc>
        <w:tc>
          <w:tcPr>
            <w:tcW w:w="680" w:type="dxa"/>
            <w:vAlign w:val="bottom"/>
            <w:shd w:val="clear" w:color="auto" w:fill="CCEC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shd w:val="clear" w:color="auto" w:fill="CCECFF"/>
          </w:tcPr>
          <w:p>
            <w:pPr>
              <w:spacing w:after="0"/>
              <w:rPr>
                <w:sz w:val="20"/>
                <w:szCs w:val="20"/>
                <w:color w:val="auto"/>
              </w:rPr>
            </w:pP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CFF"/>
          </w:tcPr>
          <w:p>
            <w:pPr>
              <w:spacing w:after="0"/>
              <w:rPr>
                <w:sz w:val="20"/>
                <w:szCs w:val="20"/>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w:t>
            </w:r>
          </w:p>
        </w:tc>
        <w:tc>
          <w:tcPr>
            <w:tcW w:w="7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(6.4 )</w:t>
            </w: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5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74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w w:val="91"/>
              </w:rPr>
              <w:t>(21.5 )</w:t>
            </w:r>
          </w:p>
        </w:tc>
        <w:tc>
          <w:tcPr>
            <w:tcW w:w="2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r>
      <w:tr>
        <w:trPr>
          <w:trHeight w:val="24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7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(0.2 )</w:t>
            </w:r>
          </w:p>
        </w:tc>
        <w:tc>
          <w:tcPr>
            <w:tcW w:w="6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r>
      <w:tr>
        <w:trPr>
          <w:trHeight w:val="276"/>
        </w:trPr>
        <w:tc>
          <w:tcPr>
            <w:tcW w:w="5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end of period</w:t>
            </w:r>
          </w:p>
        </w:tc>
        <w:tc>
          <w:tcPr>
            <w:tcW w:w="740" w:type="dxa"/>
            <w:vAlign w:val="bottom"/>
            <w:tcBorders>
              <w:top w:val="single" w:sz="8" w:color="auto"/>
              <w:bottom w:val="single" w:sz="8" w:color="auto"/>
            </w:tcBorders>
            <w:shd w:val="clear" w:color="auto" w:fill="CCEC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Borders>
              <w:bottom w:val="single" w:sz="8" w:color="CCECFF"/>
            </w:tcBorders>
            <w:shd w:val="clear" w:color="auto" w:fill="CCECFF"/>
          </w:tcPr>
          <w:p>
            <w:pPr>
              <w:spacing w:after="0"/>
              <w:rPr>
                <w:sz w:val="24"/>
                <w:szCs w:val="24"/>
                <w:color w:val="auto"/>
              </w:rPr>
            </w:pPr>
          </w:p>
        </w:tc>
        <w:tc>
          <w:tcPr>
            <w:tcW w:w="680" w:type="dxa"/>
            <w:vAlign w:val="bottom"/>
            <w:tcBorders>
              <w:top w:val="single" w:sz="8" w:color="auto"/>
              <w:bottom w:val="single" w:sz="8" w:color="auto"/>
            </w:tcBorders>
            <w:shd w:val="clear" w:color="auto" w:fill="CCEC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wrote off $18.5 million related to an accounts receivable balance that had previously been fully reserved during the year ended December 31, 2022. The balance related to a distributor in the OWN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Contract Balances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provides the balance sheet location and amounts of contract assets, or unbilled accounts receivable, and contract liabilities, or deferred revenue, from contracts with customers: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Contract Balance Type</w:t>
            </w:r>
          </w:p>
        </w:tc>
        <w:tc>
          <w:tcPr>
            <w:tcW w:w="180" w:type="dxa"/>
            <w:vAlign w:val="bottom"/>
          </w:tcPr>
          <w:p>
            <w:pPr>
              <w:spacing w:after="0"/>
              <w:rPr>
                <w:sz w:val="13"/>
                <w:szCs w:val="13"/>
                <w:color w:val="auto"/>
              </w:rPr>
            </w:pPr>
          </w:p>
        </w:tc>
        <w:tc>
          <w:tcPr>
            <w:tcW w:w="556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8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55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shd w:val="clear" w:color="auto" w:fill="CCECFF"/>
          </w:tcPr>
          <w:p>
            <w:pPr>
              <w:spacing w:after="0"/>
              <w:rPr>
                <w:sz w:val="20"/>
                <w:szCs w:val="20"/>
                <w:color w:val="auto"/>
              </w:rPr>
            </w:pPr>
          </w:p>
        </w:tc>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180" w:type="dxa"/>
            <w:vAlign w:val="bottom"/>
            <w:shd w:val="clear" w:color="auto" w:fill="CCECFF"/>
          </w:tcPr>
          <w:p>
            <w:pPr>
              <w:spacing w:after="0"/>
              <w:rPr>
                <w:sz w:val="21"/>
                <w:szCs w:val="21"/>
                <w:color w:val="auto"/>
              </w:rPr>
            </w:pPr>
          </w:p>
        </w:tc>
        <w:tc>
          <w:tcPr>
            <w:tcW w:w="5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5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18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80" w:type="dxa"/>
            <w:vAlign w:val="bottom"/>
            <w:shd w:val="clear" w:color="auto" w:fill="CCECFF"/>
          </w:tcPr>
          <w:p>
            <w:pPr>
              <w:spacing w:after="0"/>
              <w:rPr>
                <w:sz w:val="24"/>
                <w:szCs w:val="24"/>
                <w:color w:val="auto"/>
              </w:rPr>
            </w:pPr>
          </w:p>
        </w:tc>
        <w:tc>
          <w:tcPr>
            <w:tcW w:w="5560" w:type="dxa"/>
            <w:vAlign w:val="bottom"/>
            <w:shd w:val="clear" w:color="auto" w:fill="CCECFF"/>
          </w:tcPr>
          <w:p>
            <w:pPr>
              <w:spacing w:after="0"/>
              <w:rPr>
                <w:sz w:val="24"/>
                <w:szCs w:val="24"/>
                <w:color w:val="auto"/>
              </w:rPr>
            </w:pP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5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2880" w:type="dxa"/>
            <w:vAlign w:val="bottom"/>
            <w:tcBorders>
              <w:top w:val="single" w:sz="8" w:color="CCECFF"/>
            </w:tcBorders>
          </w:tcPr>
          <w:p>
            <w:pPr>
              <w:spacing w:after="0"/>
              <w:rPr>
                <w:sz w:val="24"/>
                <w:szCs w:val="24"/>
                <w:color w:val="auto"/>
              </w:rPr>
            </w:pPr>
          </w:p>
        </w:tc>
        <w:tc>
          <w:tcPr>
            <w:tcW w:w="5740" w:type="dxa"/>
            <w:vAlign w:val="bottom"/>
            <w:tcBorders>
              <w:top w:val="single" w:sz="8" w:color="CCECFF"/>
            </w:tcBorders>
            <w:gridSpan w:val="2"/>
          </w:tcPr>
          <w:p>
            <w:pPr>
              <w:jc w:val="right"/>
              <w:ind w:right="2815"/>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C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1167"/>
        </w:trPr>
        <w:tc>
          <w:tcPr>
            <w:tcW w:w="2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6281420</wp:posOffset>
            </wp:positionH>
            <wp:positionV relativeFrom="paragraph">
              <wp:posOffset>-1189355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-1172210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38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There were no material changes to contract asset balances for the six months ended June 30, 2024 as a result of changes in estimates or impairments. The change in the contract liability balance from December 31, 2023 to June 30, 2024 was primarily due to upfront support billings to be recognized over the support term. During the three and six months ended June 30, 2024, the Company recognized $21.1 million and $51.3 million, respectively, of revenue related to contract liabilities recorded as of December 31, 2023.</w:t>
      </w:r>
    </w:p>
    <w:p>
      <w:pPr>
        <w:spacing w:after="0" w:line="286" w:lineRule="exact"/>
        <w:rPr>
          <w:sz w:val="20"/>
          <w:szCs w:val="20"/>
          <w:color w:val="auto"/>
        </w:rPr>
      </w:pPr>
    </w:p>
    <w:p>
      <w:pPr>
        <w:ind w:right="6000" w:firstLine="8"/>
        <w:spacing w:after="0" w:line="553"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FINANCIAL STATEMENT INFORMATION Accounts Receivable</w:t>
      </w: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5"/>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300" w:type="dxa"/>
            <w:vAlign w:val="bottom"/>
            <w:gridSpan w:val="3"/>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5"/>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999.0</w:t>
            </w:r>
          </w:p>
        </w:tc>
        <w:tc>
          <w:tcPr>
            <w:tcW w:w="680" w:type="dxa"/>
            <w:vAlign w:val="bottom"/>
            <w:gridSpan w:val="3"/>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880" w:type="dxa"/>
            <w:vAlign w:val="bottom"/>
            <w:gridSpan w:val="6"/>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(23.4 )</w:t>
            </w:r>
          </w:p>
        </w:tc>
        <w:tc>
          <w:tcPr>
            <w:tcW w:w="20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36"/>
        </w:trPr>
        <w:tc>
          <w:tcPr>
            <w:tcW w:w="46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900" w:type="dxa"/>
            <w:vAlign w:val="bottom"/>
            <w:tcBorders>
              <w:top w:val="single" w:sz="8" w:color="CCECFF"/>
            </w:tcBorders>
            <w:gridSpan w:val="2"/>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999.8</w:t>
            </w:r>
          </w:p>
        </w:tc>
        <w:tc>
          <w:tcPr>
            <w:tcW w:w="400" w:type="dxa"/>
            <w:vAlign w:val="bottom"/>
            <w:tcBorders>
              <w:top w:val="single" w:sz="8" w:color="CCECFF"/>
            </w:tcBorders>
            <w:gridSpan w:val="2"/>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5"/>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spacing w:after="0"/>
              <w:rPr>
                <w:sz w:val="20"/>
                <w:szCs w:val="20"/>
                <w:color w:val="auto"/>
              </w:rPr>
            </w:pPr>
          </w:p>
        </w:tc>
        <w:tc>
          <w:tcPr>
            <w:tcW w:w="146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220" w:type="dxa"/>
            <w:vAlign w:val="bottom"/>
            <w:shd w:val="clear" w:color="auto" w:fill="CCECFF"/>
          </w:tcPr>
          <w:p>
            <w:pPr>
              <w:spacing w:after="0"/>
              <w:rPr>
                <w:sz w:val="20"/>
                <w:szCs w:val="20"/>
                <w:color w:val="auto"/>
              </w:rPr>
            </w:pPr>
          </w:p>
        </w:tc>
        <w:tc>
          <w:tcPr>
            <w:tcW w:w="4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1460" w:type="dxa"/>
            <w:vAlign w:val="bottom"/>
            <w:tcBorders>
              <w:bottom w:val="single" w:sz="8" w:color="auto"/>
            </w:tcBorders>
            <w:gridSpan w:val="4"/>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2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and Other Liabilities</w:t>
            </w:r>
          </w:p>
        </w:tc>
        <w:tc>
          <w:tcPr>
            <w:tcW w:w="1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 liabilities</w:t>
            </w:r>
          </w:p>
        </w:tc>
        <w:tc>
          <w:tcPr>
            <w:tcW w:w="16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780" w:type="dxa"/>
            <w:vAlign w:val="bottom"/>
            <w:gridSpan w:val="3"/>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148.0</w:t>
            </w:r>
          </w:p>
        </w:tc>
        <w:tc>
          <w:tcPr>
            <w:tcW w:w="2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113.2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107.0</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VAT liability</w:t>
            </w:r>
          </w:p>
        </w:tc>
        <w:tc>
          <w:tcPr>
            <w:tcW w:w="1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accrual</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200.4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68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400" w:type="dxa"/>
            <w:vAlign w:val="bottom"/>
            <w:shd w:val="clear" w:color="auto" w:fill="CCECFF"/>
          </w:tcPr>
          <w:p>
            <w:pPr>
              <w:spacing w:after="0"/>
              <w:rPr>
                <w:sz w:val="24"/>
                <w:szCs w:val="24"/>
                <w:color w:val="auto"/>
              </w:rPr>
            </w:pPr>
          </w:p>
        </w:tc>
        <w:tc>
          <w:tcPr>
            <w:tcW w:w="780" w:type="dxa"/>
            <w:vAlign w:val="bottom"/>
            <w:gridSpan w:val="3"/>
            <w:shd w:val="clear" w:color="auto" w:fill="CCEC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3"/>
              </w:rPr>
              <w:t>671.7</w:t>
            </w:r>
          </w:p>
        </w:tc>
        <w:tc>
          <w:tcPr>
            <w:tcW w:w="28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CFF"/>
          </w:tcPr>
          <w:p>
            <w:pPr>
              <w:spacing w:after="0"/>
              <w:rPr>
                <w:sz w:val="24"/>
                <w:szCs w:val="24"/>
                <w:color w:val="auto"/>
              </w:rPr>
            </w:pPr>
          </w:p>
        </w:tc>
        <w:tc>
          <w:tcPr>
            <w:tcW w:w="160" w:type="dxa"/>
            <w:vAlign w:val="bottom"/>
            <w:shd w:val="clear" w:color="auto" w:fill="CCECFF"/>
          </w:tcPr>
          <w:p>
            <w:pPr>
              <w:spacing w:after="0"/>
              <w:rPr>
                <w:sz w:val="24"/>
                <w:szCs w:val="24"/>
                <w:color w:val="auto"/>
              </w:rPr>
            </w:pP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 Information</w:t>
            </w:r>
          </w:p>
        </w:tc>
        <w:tc>
          <w:tcPr>
            <w:tcW w:w="1680" w:type="dxa"/>
            <w:vAlign w:val="bottom"/>
            <w:tcBorders>
              <w:top w:val="single" w:sz="8" w:color="CCECFF"/>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400" w:type="dxa"/>
            <w:vAlign w:val="bottom"/>
            <w:tcBorders>
              <w:top w:val="single" w:sz="8" w:color="CCECFF"/>
            </w:tcBorders>
          </w:tcPr>
          <w:p>
            <w:pPr>
              <w:spacing w:after="0"/>
              <w:rPr>
                <w:sz w:val="24"/>
                <w:szCs w:val="24"/>
                <w:color w:val="auto"/>
              </w:rPr>
            </w:pPr>
          </w:p>
        </w:tc>
        <w:tc>
          <w:tcPr>
            <w:tcW w:w="480" w:type="dxa"/>
            <w:vAlign w:val="bottom"/>
            <w:tcBorders>
              <w:top w:val="single" w:sz="8" w:color="CCEC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80" w:type="dxa"/>
            <w:vAlign w:val="bottom"/>
          </w:tcPr>
          <w:p>
            <w:pPr>
              <w:spacing w:after="0"/>
              <w:rPr>
                <w:sz w:val="24"/>
                <w:szCs w:val="24"/>
                <w:color w:val="auto"/>
              </w:rPr>
            </w:pPr>
          </w:p>
        </w:tc>
        <w:tc>
          <w:tcPr>
            <w:tcW w:w="230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230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gridSpan w:val="2"/>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300" w:type="dxa"/>
            <w:vAlign w:val="bottom"/>
            <w:gridSpan w:val="3"/>
            <w:shd w:val="clear" w:color="auto" w:fill="CCECFF"/>
          </w:tcPr>
          <w:p>
            <w:pPr>
              <w:jc w:val="right"/>
              <w:ind w:right="47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0"/>
                <w:szCs w:val="20"/>
                <w:color w:val="auto"/>
              </w:rPr>
            </w:pPr>
          </w:p>
        </w:tc>
        <w:tc>
          <w:tcPr>
            <w:tcW w:w="6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2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23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300" w:type="dxa"/>
            <w:vAlign w:val="bottom"/>
            <w:gridSpan w:val="3"/>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6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2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3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80" w:type="dxa"/>
            <w:vAlign w:val="bottom"/>
            <w:shd w:val="clear" w:color="auto" w:fill="CCECFF"/>
          </w:tcPr>
          <w:p>
            <w:pPr>
              <w:spacing w:after="0"/>
              <w:rPr>
                <w:sz w:val="24"/>
                <w:szCs w:val="24"/>
                <w:color w:val="auto"/>
              </w:rPr>
            </w:pPr>
          </w:p>
        </w:tc>
        <w:tc>
          <w:tcPr>
            <w:tcW w:w="220" w:type="dxa"/>
            <w:vAlign w:val="bottom"/>
            <w:shd w:val="clear" w:color="auto" w:fill="CCECFF"/>
          </w:tcPr>
          <w:p>
            <w:pPr>
              <w:spacing w:after="0"/>
              <w:rPr>
                <w:sz w:val="24"/>
                <w:szCs w:val="24"/>
                <w:color w:val="auto"/>
              </w:rPr>
            </w:pPr>
          </w:p>
        </w:tc>
        <w:tc>
          <w:tcPr>
            <w:tcW w:w="400" w:type="dxa"/>
            <w:vAlign w:val="bottom"/>
            <w:shd w:val="clear" w:color="auto" w:fill="CCECFF"/>
          </w:tcPr>
          <w:p>
            <w:pPr>
              <w:spacing w:after="0"/>
              <w:rPr>
                <w:sz w:val="24"/>
                <w:szCs w:val="24"/>
                <w:color w:val="auto"/>
              </w:rPr>
            </w:pPr>
          </w:p>
        </w:tc>
        <w:tc>
          <w:tcPr>
            <w:tcW w:w="1460" w:type="dxa"/>
            <w:vAlign w:val="bottom"/>
            <w:gridSpan w:val="4"/>
            <w:shd w:val="clear" w:color="auto" w:fill="CCEC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4"/>
                <w:szCs w:val="24"/>
                <w:color w:val="auto"/>
              </w:rPr>
            </w:pPr>
          </w:p>
        </w:tc>
        <w:tc>
          <w:tcPr>
            <w:tcW w:w="68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CFF"/>
          </w:tcPr>
          <w:p>
            <w:pPr>
              <w:spacing w:after="0"/>
              <w:rPr>
                <w:sz w:val="24"/>
                <w:szCs w:val="24"/>
                <w:color w:val="auto"/>
              </w:rPr>
            </w:pPr>
          </w:p>
        </w:tc>
        <w:tc>
          <w:tcPr>
            <w:tcW w:w="100" w:type="dxa"/>
            <w:vAlign w:val="bottom"/>
            <w:shd w:val="clear" w:color="auto" w:fill="CCECFF"/>
          </w:tcPr>
          <w:p>
            <w:pPr>
              <w:spacing w:after="0"/>
              <w:rPr>
                <w:sz w:val="24"/>
                <w:szCs w:val="24"/>
                <w:color w:val="auto"/>
              </w:rPr>
            </w:pPr>
          </w:p>
        </w:tc>
        <w:tc>
          <w:tcPr>
            <w:tcW w:w="26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CFF"/>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4680" w:type="dxa"/>
            <w:vAlign w:val="bottom"/>
            <w:tcBorders>
              <w:top w:val="single" w:sz="8" w:color="CCECFF"/>
            </w:tcBorders>
          </w:tcPr>
          <w:p>
            <w:pPr>
              <w:spacing w:after="0"/>
              <w:rPr>
                <w:sz w:val="24"/>
                <w:szCs w:val="24"/>
                <w:color w:val="auto"/>
              </w:rPr>
            </w:pPr>
          </w:p>
        </w:tc>
        <w:tc>
          <w:tcPr>
            <w:tcW w:w="1680" w:type="dxa"/>
            <w:vAlign w:val="bottom"/>
            <w:tcBorders>
              <w:top w:val="single" w:sz="8" w:color="CCECFF"/>
            </w:tcBorders>
          </w:tcPr>
          <w:p>
            <w:pPr>
              <w:jc w:val="right"/>
              <w:ind w:right="55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CFF"/>
            </w:tcBorders>
          </w:tcPr>
          <w:p>
            <w:pPr>
              <w:spacing w:after="0"/>
              <w:rPr>
                <w:sz w:val="24"/>
                <w:szCs w:val="24"/>
                <w:color w:val="auto"/>
              </w:rPr>
            </w:pPr>
          </w:p>
        </w:tc>
        <w:tc>
          <w:tcPr>
            <w:tcW w:w="400" w:type="dxa"/>
            <w:vAlign w:val="bottom"/>
            <w:tcBorders>
              <w:top w:val="single" w:sz="8" w:color="CCECFF"/>
            </w:tcBorders>
          </w:tcPr>
          <w:p>
            <w:pPr>
              <w:spacing w:after="0"/>
              <w:rPr>
                <w:sz w:val="24"/>
                <w:szCs w:val="24"/>
                <w:color w:val="auto"/>
              </w:rPr>
            </w:pPr>
          </w:p>
        </w:tc>
        <w:tc>
          <w:tcPr>
            <w:tcW w:w="480" w:type="dxa"/>
            <w:vAlign w:val="bottom"/>
            <w:tcBorders>
              <w:top w:val="single" w:sz="8" w:color="CCECFF"/>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0" w:type="dxa"/>
            <w:vAlign w:val="bottom"/>
          </w:tcPr>
          <w:p>
            <w:pPr>
              <w:spacing w:after="0"/>
              <w:rPr>
                <w:sz w:val="1"/>
                <w:szCs w:val="1"/>
                <w:color w:val="auto"/>
              </w:rPr>
            </w:pPr>
          </w:p>
        </w:tc>
      </w:tr>
      <w:tr>
        <w:trPr>
          <w:trHeight w:val="1180"/>
        </w:trPr>
        <w:tc>
          <w:tcPr>
            <w:tcW w:w="4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-6266815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-6266815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-4948555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-4948555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-2696210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-2679700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-2696210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-1198245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-1181100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loss (AOCL), net of tax: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5"/>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16"/>
        </w:trPr>
        <w:tc>
          <w:tcPr>
            <w:tcW w:w="20" w:type="dxa"/>
            <w:vAlign w:val="bottom"/>
            <w:tcBorders>
              <w:bottom w:val="single" w:sz="8" w:color="CCECFF"/>
            </w:tcBorders>
            <w:shd w:val="clear" w:color="auto" w:fill="CCECFF"/>
          </w:tcPr>
          <w:p>
            <w:pPr>
              <w:spacing w:after="0"/>
              <w:rPr>
                <w:sz w:val="18"/>
                <w:szCs w:val="18"/>
                <w:color w:val="auto"/>
              </w:rPr>
            </w:pPr>
          </w:p>
        </w:tc>
        <w:tc>
          <w:tcPr>
            <w:tcW w:w="2040" w:type="dxa"/>
            <w:vAlign w:val="bottom"/>
            <w:tcBorders>
              <w:bottom w:val="single" w:sz="8" w:color="auto"/>
            </w:tcBorders>
            <w:gridSpan w:val="2"/>
            <w:shd w:val="clear" w:color="auto" w:fill="CCECFF"/>
          </w:tcPr>
          <w:p>
            <w:pPr>
              <w:spacing w:after="0" w:line="182" w:lineRule="exact"/>
              <w:rPr>
                <w:sz w:val="20"/>
                <w:szCs w:val="20"/>
                <w:color w:val="auto"/>
              </w:rPr>
            </w:pPr>
            <w:r>
              <w:rPr>
                <w:rFonts w:ascii="Times New Roman" w:cs="Times New Roman" w:eastAsia="Times New Roman" w:hAnsi="Times New Roman"/>
                <w:sz w:val="18"/>
                <w:szCs w:val="18"/>
                <w:color w:val="auto"/>
                <w:w w:val="99"/>
              </w:rPr>
              <w:t>Foreign currency translation</w:t>
            </w:r>
          </w:p>
        </w:tc>
        <w:tc>
          <w:tcPr>
            <w:tcW w:w="3620" w:type="dxa"/>
            <w:vAlign w:val="bottom"/>
            <w:tcBorders>
              <w:bottom w:val="single" w:sz="8" w:color="CCECFF"/>
            </w:tcBorders>
            <w:gridSpan w:val="2"/>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CCECFF"/>
            </w:tcBorders>
            <w:shd w:val="clear" w:color="auto" w:fill="CCECFF"/>
          </w:tcPr>
          <w:p>
            <w:pPr>
              <w:spacing w:after="0"/>
              <w:rPr>
                <w:sz w:val="18"/>
                <w:szCs w:val="18"/>
                <w:color w:val="auto"/>
              </w:rPr>
            </w:pPr>
          </w:p>
        </w:tc>
        <w:tc>
          <w:tcPr>
            <w:tcW w:w="7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(237.6 )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(249.9 )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(232.4 )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(270.3 )</w:t>
            </w:r>
          </w:p>
        </w:tc>
      </w:tr>
      <w:tr>
        <w:trPr>
          <w:trHeight w:val="247"/>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CFF"/>
          </w:tcPr>
          <w:p>
            <w:pPr>
              <w:spacing w:after="0"/>
              <w:rPr>
                <w:sz w:val="21"/>
                <w:szCs w:val="21"/>
                <w:color w:val="auto"/>
              </w:rPr>
            </w:pP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(16.1 )</w:t>
            </w:r>
          </w:p>
        </w:tc>
        <w:tc>
          <w:tcPr>
            <w:tcW w:w="28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(48.7 )</w:t>
            </w:r>
          </w:p>
        </w:tc>
        <w:tc>
          <w:tcPr>
            <w:tcW w:w="42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C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20" w:type="dxa"/>
            <w:vAlign w:val="bottom"/>
            <w:shd w:val="clear" w:color="auto" w:fill="CCECFF"/>
          </w:tcPr>
          <w:p>
            <w:pPr>
              <w:spacing w:after="0"/>
              <w:rPr>
                <w:sz w:val="20"/>
                <w:szCs w:val="20"/>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(253.7 )</w:t>
            </w: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(249.6 )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(253.7 )</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(249.6 )</w:t>
            </w:r>
          </w:p>
        </w:tc>
      </w:tr>
      <w:tr>
        <w:trPr>
          <w:trHeight w:val="236"/>
        </w:trPr>
        <w:tc>
          <w:tcPr>
            <w:tcW w:w="20" w:type="dxa"/>
            <w:vAlign w:val="bottom"/>
            <w:tcBorders>
              <w:top w:val="single" w:sz="8" w:color="CCECFF"/>
            </w:tcBorders>
          </w:tcPr>
          <w:p>
            <w:pPr>
              <w:spacing w:after="0"/>
              <w:rPr>
                <w:sz w:val="20"/>
                <w:szCs w:val="20"/>
                <w:color w:val="auto"/>
              </w:rPr>
            </w:pPr>
          </w:p>
        </w:tc>
        <w:tc>
          <w:tcPr>
            <w:tcW w:w="1500" w:type="dxa"/>
            <w:vAlign w:val="bottom"/>
            <w:tcBorders>
              <w:top w:val="single" w:sz="8" w:color="CCECFF"/>
            </w:tcBorders>
          </w:tcPr>
          <w:p>
            <w:pPr>
              <w:spacing w:after="0"/>
              <w:rPr>
                <w:sz w:val="20"/>
                <w:szCs w:val="20"/>
                <w:color w:val="auto"/>
              </w:rPr>
            </w:pPr>
          </w:p>
        </w:tc>
        <w:tc>
          <w:tcPr>
            <w:tcW w:w="540" w:type="dxa"/>
            <w:vAlign w:val="bottom"/>
            <w:tcBorders>
              <w:top w:val="single" w:sz="8" w:color="CCECFF"/>
            </w:tcBorders>
          </w:tcPr>
          <w:p>
            <w:pPr>
              <w:spacing w:after="0"/>
              <w:rPr>
                <w:sz w:val="20"/>
                <w:szCs w:val="20"/>
                <w:color w:val="auto"/>
              </w:rPr>
            </w:pPr>
          </w:p>
        </w:tc>
        <w:tc>
          <w:tcPr>
            <w:tcW w:w="20" w:type="dxa"/>
            <w:vAlign w:val="bottom"/>
            <w:tcBorders>
              <w:top w:val="single" w:sz="8" w:color="CCECFF"/>
            </w:tcBorders>
          </w:tcPr>
          <w:p>
            <w:pPr>
              <w:spacing w:after="0"/>
              <w:rPr>
                <w:sz w:val="20"/>
                <w:szCs w:val="20"/>
                <w:color w:val="auto"/>
              </w:rPr>
            </w:pPr>
          </w:p>
        </w:tc>
        <w:tc>
          <w:tcPr>
            <w:tcW w:w="360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CEC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 w:type="dxa"/>
            <w:vAlign w:val="bottom"/>
            <w:tcBorders>
              <w:top w:val="single" w:sz="8" w:color="CCEC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ECFF"/>
            </w:tcBorders>
          </w:tcPr>
          <w:p>
            <w:pPr>
              <w:spacing w:after="0"/>
              <w:rPr>
                <w:sz w:val="20"/>
                <w:szCs w:val="20"/>
                <w:color w:val="auto"/>
              </w:rPr>
            </w:pPr>
          </w:p>
        </w:tc>
      </w:tr>
      <w:tr>
        <w:trPr>
          <w:trHeight w:val="189"/>
        </w:trPr>
        <w:tc>
          <w:tcPr>
            <w:tcW w:w="20" w:type="dxa"/>
            <w:vAlign w:val="bottom"/>
            <w:shd w:val="clear" w:color="auto" w:fill="CCECFF"/>
          </w:tcPr>
          <w:p>
            <w:pPr>
              <w:spacing w:after="0"/>
              <w:rPr>
                <w:sz w:val="16"/>
                <w:szCs w:val="16"/>
                <w:color w:val="auto"/>
              </w:rPr>
            </w:pPr>
          </w:p>
        </w:tc>
        <w:tc>
          <w:tcPr>
            <w:tcW w:w="5660" w:type="dxa"/>
            <w:vAlign w:val="bottom"/>
            <w:gridSpan w:val="4"/>
            <w:shd w:val="clear" w:color="auto" w:fill="CCECFF"/>
          </w:tcPr>
          <w:p>
            <w:pPr>
              <w:spacing w:after="0" w:line="189" w:lineRule="exact"/>
              <w:rPr>
                <w:sz w:val="20"/>
                <w:szCs w:val="20"/>
                <w:color w:val="auto"/>
              </w:rPr>
            </w:pPr>
            <w:r>
              <w:rPr>
                <w:rFonts w:ascii="Times New Roman" w:cs="Times New Roman" w:eastAsia="Times New Roman" w:hAnsi="Times New Roman"/>
                <w:sz w:val="18"/>
                <w:szCs w:val="18"/>
                <w:color w:val="auto"/>
              </w:rPr>
              <w:t>Defined benefit plan activity</w:t>
            </w:r>
          </w:p>
        </w:tc>
        <w:tc>
          <w:tcPr>
            <w:tcW w:w="26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34"/>
        </w:trPr>
        <w:tc>
          <w:tcPr>
            <w:tcW w:w="20" w:type="dxa"/>
            <w:vAlign w:val="bottom"/>
            <w:tcBorders>
              <w:top w:val="single" w:sz="8" w:color="CCECFF"/>
            </w:tcBorders>
            <w:shd w:val="clear" w:color="auto" w:fill="CCECFF"/>
          </w:tcPr>
          <w:p>
            <w:pPr>
              <w:spacing w:after="0"/>
              <w:rPr>
                <w:sz w:val="2"/>
                <w:szCs w:val="2"/>
                <w:color w:val="auto"/>
              </w:rPr>
            </w:pPr>
          </w:p>
        </w:tc>
        <w:tc>
          <w:tcPr>
            <w:tcW w:w="1500" w:type="dxa"/>
            <w:vAlign w:val="bottom"/>
            <w:tcBorders>
              <w:top w:val="single" w:sz="8" w:color="auto"/>
            </w:tcBorders>
            <w:shd w:val="clear" w:color="auto" w:fill="CCECFF"/>
          </w:tcPr>
          <w:p>
            <w:pPr>
              <w:spacing w:after="0"/>
              <w:rPr>
                <w:sz w:val="2"/>
                <w:szCs w:val="2"/>
                <w:color w:val="auto"/>
              </w:rPr>
            </w:pPr>
          </w:p>
        </w:tc>
        <w:tc>
          <w:tcPr>
            <w:tcW w:w="540" w:type="dxa"/>
            <w:vAlign w:val="bottom"/>
            <w:tcBorders>
              <w:top w:val="single" w:sz="8" w:color="auto"/>
            </w:tcBorders>
            <w:shd w:val="clear" w:color="auto" w:fill="CCECFF"/>
          </w:tcPr>
          <w:p>
            <w:pPr>
              <w:spacing w:after="0"/>
              <w:rPr>
                <w:sz w:val="2"/>
                <w:szCs w:val="2"/>
                <w:color w:val="auto"/>
              </w:rPr>
            </w:pPr>
          </w:p>
        </w:tc>
        <w:tc>
          <w:tcPr>
            <w:tcW w:w="20" w:type="dxa"/>
            <w:vAlign w:val="bottom"/>
            <w:tcBorders>
              <w:top w:val="single" w:sz="8" w:color="auto"/>
            </w:tcBorders>
            <w:shd w:val="clear" w:color="auto" w:fill="CCECFF"/>
          </w:tcPr>
          <w:p>
            <w:pPr>
              <w:spacing w:after="0"/>
              <w:rPr>
                <w:sz w:val="2"/>
                <w:szCs w:val="2"/>
                <w:color w:val="auto"/>
              </w:rPr>
            </w:pPr>
          </w:p>
        </w:tc>
        <w:tc>
          <w:tcPr>
            <w:tcW w:w="3600" w:type="dxa"/>
            <w:vAlign w:val="bottom"/>
            <w:tcBorders>
              <w:top w:val="single" w:sz="8" w:color="CCECFF"/>
            </w:tcBorders>
            <w:shd w:val="clear" w:color="auto" w:fill="CCECFF"/>
          </w:tcPr>
          <w:p>
            <w:pPr>
              <w:spacing w:after="0"/>
              <w:rPr>
                <w:sz w:val="2"/>
                <w:szCs w:val="2"/>
                <w:color w:val="auto"/>
              </w:rPr>
            </w:pPr>
          </w:p>
        </w:tc>
        <w:tc>
          <w:tcPr>
            <w:tcW w:w="260" w:type="dxa"/>
            <w:vAlign w:val="bottom"/>
            <w:tcBorders>
              <w:top w:val="single" w:sz="8" w:color="CCECFF"/>
            </w:tcBorders>
            <w:shd w:val="clear" w:color="auto" w:fill="CCECFF"/>
          </w:tcPr>
          <w:p>
            <w:pPr>
              <w:spacing w:after="0"/>
              <w:rPr>
                <w:sz w:val="2"/>
                <w:szCs w:val="2"/>
                <w:color w:val="auto"/>
              </w:rPr>
            </w:pPr>
          </w:p>
        </w:tc>
        <w:tc>
          <w:tcPr>
            <w:tcW w:w="900" w:type="dxa"/>
            <w:vAlign w:val="bottom"/>
            <w:tcBorders>
              <w:top w:val="single" w:sz="8" w:color="CCECFF"/>
            </w:tcBorders>
            <w:shd w:val="clear" w:color="auto" w:fill="CCECFF"/>
          </w:tcPr>
          <w:p>
            <w:pPr>
              <w:spacing w:after="0"/>
              <w:rPr>
                <w:sz w:val="2"/>
                <w:szCs w:val="2"/>
                <w:color w:val="auto"/>
              </w:rPr>
            </w:pPr>
          </w:p>
        </w:tc>
        <w:tc>
          <w:tcPr>
            <w:tcW w:w="320" w:type="dxa"/>
            <w:vAlign w:val="bottom"/>
            <w:tcBorders>
              <w:top w:val="single" w:sz="8" w:color="CCECFF"/>
            </w:tcBorders>
            <w:shd w:val="clear" w:color="auto" w:fill="CCECFF"/>
          </w:tcPr>
          <w:p>
            <w:pPr>
              <w:spacing w:after="0"/>
              <w:rPr>
                <w:sz w:val="2"/>
                <w:szCs w:val="2"/>
                <w:color w:val="auto"/>
              </w:rPr>
            </w:pPr>
          </w:p>
        </w:tc>
        <w:tc>
          <w:tcPr>
            <w:tcW w:w="280" w:type="dxa"/>
            <w:vAlign w:val="bottom"/>
            <w:tcBorders>
              <w:top w:val="single" w:sz="8" w:color="CCECFF"/>
            </w:tcBorders>
            <w:shd w:val="clear" w:color="auto" w:fill="CCECFF"/>
          </w:tcPr>
          <w:p>
            <w:pPr>
              <w:spacing w:after="0"/>
              <w:rPr>
                <w:sz w:val="2"/>
                <w:szCs w:val="2"/>
                <w:color w:val="auto"/>
              </w:rPr>
            </w:pPr>
          </w:p>
        </w:tc>
        <w:tc>
          <w:tcPr>
            <w:tcW w:w="860" w:type="dxa"/>
            <w:vAlign w:val="bottom"/>
            <w:tcBorders>
              <w:top w:val="single" w:sz="8" w:color="CCECFF"/>
            </w:tcBorders>
            <w:shd w:val="clear" w:color="auto" w:fill="CCECFF"/>
          </w:tcPr>
          <w:p>
            <w:pPr>
              <w:spacing w:after="0"/>
              <w:rPr>
                <w:sz w:val="2"/>
                <w:szCs w:val="2"/>
                <w:color w:val="auto"/>
              </w:rPr>
            </w:pPr>
          </w:p>
        </w:tc>
        <w:tc>
          <w:tcPr>
            <w:tcW w:w="220" w:type="dxa"/>
            <w:vAlign w:val="bottom"/>
            <w:tcBorders>
              <w:top w:val="single" w:sz="8" w:color="CCECFF"/>
            </w:tcBorders>
            <w:shd w:val="clear" w:color="auto" w:fill="CCECFF"/>
          </w:tcPr>
          <w:p>
            <w:pPr>
              <w:spacing w:after="0"/>
              <w:rPr>
                <w:sz w:val="2"/>
                <w:szCs w:val="2"/>
                <w:color w:val="auto"/>
              </w:rPr>
            </w:pPr>
          </w:p>
        </w:tc>
        <w:tc>
          <w:tcPr>
            <w:tcW w:w="260" w:type="dxa"/>
            <w:vAlign w:val="bottom"/>
            <w:tcBorders>
              <w:top w:val="single" w:sz="8" w:color="CCECFF"/>
            </w:tcBorders>
            <w:shd w:val="clear" w:color="auto" w:fill="CCECFF"/>
          </w:tcPr>
          <w:p>
            <w:pPr>
              <w:spacing w:after="0"/>
              <w:rPr>
                <w:sz w:val="2"/>
                <w:szCs w:val="2"/>
                <w:color w:val="auto"/>
              </w:rPr>
            </w:pPr>
          </w:p>
        </w:tc>
        <w:tc>
          <w:tcPr>
            <w:tcW w:w="880" w:type="dxa"/>
            <w:vAlign w:val="bottom"/>
            <w:tcBorders>
              <w:top w:val="single" w:sz="8" w:color="CCECFF"/>
            </w:tcBorders>
            <w:shd w:val="clear" w:color="auto" w:fill="CCECFF"/>
          </w:tcPr>
          <w:p>
            <w:pPr>
              <w:spacing w:after="0"/>
              <w:rPr>
                <w:sz w:val="2"/>
                <w:szCs w:val="2"/>
                <w:color w:val="auto"/>
              </w:rPr>
            </w:pPr>
          </w:p>
        </w:tc>
        <w:tc>
          <w:tcPr>
            <w:tcW w:w="320" w:type="dxa"/>
            <w:vAlign w:val="bottom"/>
            <w:tcBorders>
              <w:top w:val="single" w:sz="8" w:color="CCECFF"/>
            </w:tcBorders>
            <w:shd w:val="clear" w:color="auto" w:fill="CCECFF"/>
          </w:tcPr>
          <w:p>
            <w:pPr>
              <w:spacing w:after="0"/>
              <w:rPr>
                <w:sz w:val="2"/>
                <w:szCs w:val="2"/>
                <w:color w:val="auto"/>
              </w:rPr>
            </w:pPr>
          </w:p>
        </w:tc>
        <w:tc>
          <w:tcPr>
            <w:tcW w:w="420" w:type="dxa"/>
            <w:vAlign w:val="bottom"/>
            <w:tcBorders>
              <w:top w:val="single" w:sz="8" w:color="CCECFF"/>
            </w:tcBorders>
            <w:shd w:val="clear" w:color="auto" w:fill="CCECFF"/>
          </w:tcPr>
          <w:p>
            <w:pPr>
              <w:spacing w:after="0"/>
              <w:rPr>
                <w:sz w:val="2"/>
                <w:szCs w:val="2"/>
                <w:color w:val="auto"/>
              </w:rPr>
            </w:pPr>
          </w:p>
        </w:tc>
        <w:tc>
          <w:tcPr>
            <w:tcW w:w="740" w:type="dxa"/>
            <w:vAlign w:val="bottom"/>
            <w:tcBorders>
              <w:top w:val="single" w:sz="8" w:color="CCECFF"/>
            </w:tcBorders>
            <w:shd w:val="clear" w:color="auto" w:fill="CCECFF"/>
          </w:tcPr>
          <w:p>
            <w:pPr>
              <w:spacing w:after="0"/>
              <w:rPr>
                <w:sz w:val="2"/>
                <w:szCs w:val="2"/>
                <w:color w:val="auto"/>
              </w:rPr>
            </w:pPr>
          </w:p>
        </w:tc>
        <w:tc>
          <w:tcPr>
            <w:tcW w:w="100" w:type="dxa"/>
            <w:vAlign w:val="bottom"/>
            <w:tcBorders>
              <w:top w:val="single" w:sz="8" w:color="CCECFF"/>
            </w:tcBorders>
            <w:shd w:val="clear" w:color="auto" w:fill="CCECFF"/>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(14.9 )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47"/>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CFF"/>
          </w:tcPr>
          <w:p>
            <w:pPr>
              <w:spacing w:after="0"/>
              <w:rPr>
                <w:sz w:val="21"/>
                <w:szCs w:val="21"/>
                <w:color w:val="auto"/>
              </w:rPr>
            </w:pP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c>
          <w:tcPr>
            <w:tcW w:w="42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6"/>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2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540" w:type="dxa"/>
            <w:vAlign w:val="bottom"/>
            <w:shd w:val="clear" w:color="auto" w:fill="CCECFF"/>
          </w:tcPr>
          <w:p>
            <w:pPr>
              <w:spacing w:after="0"/>
              <w:rPr>
                <w:sz w:val="20"/>
                <w:szCs w:val="20"/>
                <w:color w:val="auto"/>
              </w:rPr>
            </w:pPr>
          </w:p>
        </w:tc>
        <w:tc>
          <w:tcPr>
            <w:tcW w:w="20" w:type="dxa"/>
            <w:vAlign w:val="bottom"/>
            <w:shd w:val="clear" w:color="auto" w:fill="CCECFF"/>
          </w:tcPr>
          <w:p>
            <w:pPr>
              <w:spacing w:after="0"/>
              <w:rPr>
                <w:sz w:val="20"/>
                <w:szCs w:val="20"/>
                <w:color w:val="auto"/>
              </w:rPr>
            </w:pPr>
          </w:p>
        </w:tc>
        <w:tc>
          <w:tcPr>
            <w:tcW w:w="36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9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8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7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6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Hedging instruments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CECFF"/>
          </w:tcPr>
          <w:p>
            <w:pPr>
              <w:spacing w:after="0"/>
              <w:rPr>
                <w:sz w:val="21"/>
                <w:szCs w:val="21"/>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(12.6 )</w:t>
            </w: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(12.7 )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(19.4 )</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20" w:type="dxa"/>
            <w:vAlign w:val="bottom"/>
          </w:tcPr>
          <w:p>
            <w:pPr>
              <w:spacing w:after="0"/>
              <w:rPr>
                <w:sz w:val="21"/>
                <w:szCs w:val="21"/>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shd w:val="clear" w:color="auto" w:fill="CCECFF"/>
          </w:tcPr>
          <w:p>
            <w:pPr>
              <w:spacing w:after="0"/>
              <w:rPr>
                <w:sz w:val="20"/>
                <w:szCs w:val="20"/>
                <w:color w:val="auto"/>
              </w:rPr>
            </w:pPr>
          </w:p>
        </w:tc>
        <w:tc>
          <w:tcPr>
            <w:tcW w:w="5660" w:type="dxa"/>
            <w:vAlign w:val="bottom"/>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(12.0 )</w:t>
            </w:r>
          </w:p>
        </w:tc>
        <w:tc>
          <w:tcPr>
            <w:tcW w:w="28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(11.7 )</w:t>
            </w:r>
          </w:p>
        </w:tc>
        <w:tc>
          <w:tcPr>
            <w:tcW w:w="2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(12.0 )</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0"/>
        </w:trPr>
        <w:tc>
          <w:tcPr>
            <w:tcW w:w="20" w:type="dxa"/>
            <w:vAlign w:val="bottom"/>
            <w:shd w:val="clear" w:color="auto" w:fill="CCECFF"/>
          </w:tcPr>
          <w:p>
            <w:pPr>
              <w:spacing w:after="0" w:line="20" w:lineRule="exact"/>
              <w:rPr>
                <w:sz w:val="1"/>
                <w:szCs w:val="1"/>
                <w:color w:val="auto"/>
              </w:rPr>
            </w:pPr>
          </w:p>
        </w:tc>
        <w:tc>
          <w:tcPr>
            <w:tcW w:w="1500" w:type="dxa"/>
            <w:vAlign w:val="bottom"/>
            <w:shd w:val="clear" w:color="auto" w:fill="CCECFF"/>
          </w:tcPr>
          <w:p>
            <w:pPr>
              <w:spacing w:after="0" w:line="20" w:lineRule="exact"/>
              <w:rPr>
                <w:sz w:val="1"/>
                <w:szCs w:val="1"/>
                <w:color w:val="auto"/>
              </w:rPr>
            </w:pPr>
          </w:p>
        </w:tc>
        <w:tc>
          <w:tcPr>
            <w:tcW w:w="540" w:type="dxa"/>
            <w:vAlign w:val="bottom"/>
            <w:shd w:val="clear" w:color="auto" w:fill="CCECFF"/>
          </w:tcPr>
          <w:p>
            <w:pPr>
              <w:spacing w:after="0" w:line="20" w:lineRule="exact"/>
              <w:rPr>
                <w:sz w:val="1"/>
                <w:szCs w:val="1"/>
                <w:color w:val="auto"/>
              </w:rPr>
            </w:pPr>
          </w:p>
        </w:tc>
        <w:tc>
          <w:tcPr>
            <w:tcW w:w="20" w:type="dxa"/>
            <w:vAlign w:val="bottom"/>
            <w:shd w:val="clear" w:color="auto" w:fill="CCECFF"/>
          </w:tcPr>
          <w:p>
            <w:pPr>
              <w:spacing w:after="0" w:line="20" w:lineRule="exact"/>
              <w:rPr>
                <w:sz w:val="1"/>
                <w:szCs w:val="1"/>
                <w:color w:val="auto"/>
              </w:rPr>
            </w:pPr>
          </w:p>
        </w:tc>
        <w:tc>
          <w:tcPr>
            <w:tcW w:w="360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AOCL at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(276.2 )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(280.7 )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(276.2 )</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-1763395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-1763395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-1763395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4333240</wp:posOffset>
            </wp:positionH>
            <wp:positionV relativeFrom="paragraph">
              <wp:posOffset>-1150620</wp:posOffset>
            </wp:positionV>
            <wp:extent cx="102235" cy="196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-1150620</wp:posOffset>
            </wp:positionV>
            <wp:extent cx="93980" cy="196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6122670</wp:posOffset>
            </wp:positionH>
            <wp:positionV relativeFrom="paragraph">
              <wp:posOffset>-1150620</wp:posOffset>
            </wp:positionV>
            <wp:extent cx="93980" cy="196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-1150620</wp:posOffset>
            </wp:positionV>
            <wp:extent cx="9398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-187960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 amount reclassified from net AOCL related to foreign currency translation was recorded in the loss on disposal of the Home business, included in loss from discontinued operations, net of income taxes, on the Condensed Consolidated Statements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940" w:type="dxa"/>
            <w:vAlign w:val="bottom"/>
            <w:shd w:val="clear" w:color="auto" w:fill="CCECFF"/>
          </w:tcPr>
          <w:p>
            <w:pPr>
              <w:spacing w:after="0"/>
              <w:rPr>
                <w:sz w:val="20"/>
                <w:szCs w:val="20"/>
                <w:color w:val="auto"/>
              </w:rPr>
            </w:pPr>
          </w:p>
        </w:tc>
        <w:tc>
          <w:tcPr>
            <w:tcW w:w="11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420" w:type="dxa"/>
            <w:vAlign w:val="bottom"/>
            <w:shd w:val="clear" w:color="auto" w:fill="CCECFF"/>
          </w:tcPr>
          <w:p>
            <w:pPr>
              <w:spacing w:after="0"/>
              <w:rPr>
                <w:sz w:val="20"/>
                <w:szCs w:val="20"/>
                <w:color w:val="auto"/>
              </w:rPr>
            </w:pPr>
          </w:p>
        </w:tc>
        <w:tc>
          <w:tcPr>
            <w:tcW w:w="520" w:type="dxa"/>
            <w:vAlign w:val="bottom"/>
            <w:shd w:val="clear" w:color="auto" w:fill="CCECFF"/>
          </w:tcPr>
          <w:p>
            <w:pPr>
              <w:spacing w:after="0"/>
              <w:rPr>
                <w:sz w:val="20"/>
                <w:szCs w:val="20"/>
                <w:color w:val="auto"/>
              </w:rPr>
            </w:pPr>
          </w:p>
        </w:tc>
        <w:tc>
          <w:tcPr>
            <w:tcW w:w="11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0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r>
      <w:tr>
        <w:trPr>
          <w:trHeight w:val="247"/>
        </w:trPr>
        <w:tc>
          <w:tcPr>
            <w:tcW w:w="4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94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4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CFF"/>
          </w:tcPr>
          <w:p>
            <w:pPr>
              <w:spacing w:after="0"/>
              <w:rPr>
                <w:sz w:val="21"/>
                <w:szCs w:val="2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0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Equity method investment from divestiture</w:t>
            </w:r>
          </w:p>
        </w:tc>
        <w:tc>
          <w:tcPr>
            <w:tcW w:w="294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2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647"/>
        </w:trPr>
        <w:tc>
          <w:tcPr>
            <w:tcW w:w="4400" w:type="dxa"/>
            <w:vAlign w:val="bottom"/>
          </w:tcPr>
          <w:p>
            <w:pPr>
              <w:spacing w:after="0"/>
              <w:rPr>
                <w:sz w:val="24"/>
                <w:szCs w:val="24"/>
                <w:color w:val="auto"/>
              </w:rPr>
            </w:pPr>
          </w:p>
        </w:tc>
        <w:tc>
          <w:tcPr>
            <w:tcW w:w="294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19</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44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spacing w:after="0"/>
              <w:rPr>
                <w:sz w:val="16"/>
                <w:szCs w:val="16"/>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7.125% senior notes due July 2028</w:t>
            </w:r>
          </w:p>
        </w:tc>
        <w:tc>
          <w:tcPr>
            <w:tcW w:w="1220" w:type="dxa"/>
            <w:vAlign w:val="bottom"/>
            <w:shd w:val="clear" w:color="auto" w:fill="CCEC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340" w:type="dxa"/>
            <w:vAlign w:val="bottom"/>
            <w:shd w:val="clear" w:color="auto" w:fill="CCECFF"/>
          </w:tcPr>
          <w:p>
            <w:pPr>
              <w:spacing w:after="0"/>
              <w:rPr>
                <w:sz w:val="20"/>
                <w:szCs w:val="20"/>
                <w:color w:val="auto"/>
              </w:rPr>
            </w:pP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CFF"/>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March 2027</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8.25% senior notes due March 2027</w:t>
            </w:r>
          </w:p>
        </w:tc>
        <w:tc>
          <w:tcPr>
            <w:tcW w:w="12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CFF"/>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notes due June 2025</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4.75% senior secured notes due September 2029</w:t>
            </w:r>
          </w:p>
        </w:tc>
        <w:tc>
          <w:tcPr>
            <w:tcW w:w="12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CFF"/>
          </w:tcPr>
          <w:p>
            <w:pPr>
              <w:spacing w:after="0"/>
              <w:rPr>
                <w:sz w:val="21"/>
                <w:szCs w:val="21"/>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senior secured notes due March 2026</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Senior secured term loan due April 2026</w:t>
            </w:r>
          </w:p>
        </w:tc>
        <w:tc>
          <w:tcPr>
            <w:tcW w:w="12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100" w:type="dxa"/>
            <w:vAlign w:val="bottom"/>
            <w:shd w:val="clear" w:color="auto" w:fill="CCEC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22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220" w:type="dxa"/>
            <w:vAlign w:val="bottom"/>
            <w:tcBorders>
              <w:top w:val="single" w:sz="8" w:color="auto"/>
            </w:tcBorders>
            <w:shd w:val="clear" w:color="auto" w:fill="CCECFF"/>
          </w:tcPr>
          <w:p>
            <w:pPr>
              <w:spacing w:after="0"/>
              <w:rPr>
                <w:sz w:val="20"/>
                <w:szCs w:val="20"/>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9,331.1</w:t>
            </w:r>
          </w:p>
        </w:tc>
        <w:tc>
          <w:tcPr>
            <w:tcW w:w="340" w:type="dxa"/>
            <w:vAlign w:val="bottom"/>
            <w:shd w:val="clear" w:color="auto" w:fill="CCECFF"/>
          </w:tcPr>
          <w:p>
            <w:pPr>
              <w:spacing w:after="0"/>
              <w:rPr>
                <w:sz w:val="20"/>
                <w:szCs w:val="20"/>
                <w:color w:val="auto"/>
              </w:rPr>
            </w:pPr>
          </w:p>
        </w:tc>
        <w:tc>
          <w:tcPr>
            <w:tcW w:w="300" w:type="dxa"/>
            <w:vAlign w:val="bottom"/>
            <w:tcBorders>
              <w:top w:val="single" w:sz="8" w:color="auto"/>
            </w:tcBorders>
            <w:shd w:val="clear" w:color="auto" w:fill="CCECFF"/>
          </w:tcPr>
          <w:p>
            <w:pPr>
              <w:spacing w:after="0"/>
              <w:rPr>
                <w:sz w:val="20"/>
                <w:szCs w:val="20"/>
                <w:color w:val="auto"/>
              </w:rPr>
            </w:pPr>
          </w:p>
        </w:tc>
        <w:tc>
          <w:tcPr>
            <w:tcW w:w="1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9,347.1</w:t>
            </w:r>
          </w:p>
        </w:tc>
        <w:tc>
          <w:tcPr>
            <w:tcW w:w="100" w:type="dxa"/>
            <w:vAlign w:val="bottom"/>
            <w:shd w:val="clear" w:color="auto" w:fill="CCECFF"/>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Original issue discount, net of amortization</w:t>
            </w:r>
          </w:p>
        </w:tc>
        <w:tc>
          <w:tcPr>
            <w:tcW w:w="12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(9.2 )</w:t>
            </w:r>
          </w:p>
        </w:tc>
        <w:tc>
          <w:tcPr>
            <w:tcW w:w="3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7"/>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12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(47.1 )</w:t>
            </w:r>
          </w:p>
        </w:tc>
        <w:tc>
          <w:tcPr>
            <w:tcW w:w="300" w:type="dxa"/>
            <w:vAlign w:val="bottom"/>
            <w:shd w:val="clear" w:color="auto" w:fill="CCECFF"/>
          </w:tcPr>
          <w:p>
            <w:pPr>
              <w:spacing w:after="0"/>
              <w:rPr>
                <w:sz w:val="21"/>
                <w:szCs w:val="21"/>
                <w:color w:val="auto"/>
              </w:rPr>
            </w:pPr>
          </w:p>
        </w:tc>
        <w:tc>
          <w:tcPr>
            <w:tcW w:w="1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(57.0 )</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2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(1,306.6 )</w:t>
            </w:r>
          </w:p>
        </w:tc>
        <w:tc>
          <w:tcPr>
            <w:tcW w:w="30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(32.0 )</w:t>
            </w:r>
          </w:p>
        </w:tc>
      </w:tr>
      <w:tr>
        <w:trPr>
          <w:trHeight w:val="276"/>
        </w:trPr>
        <w:tc>
          <w:tcPr>
            <w:tcW w:w="70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20" w:type="dxa"/>
            <w:vAlign w:val="bottom"/>
            <w:tcBorders>
              <w:top w:val="single" w:sz="8" w:color="auto"/>
              <w:bottom w:val="single" w:sz="8" w:color="auto"/>
            </w:tcBorders>
            <w:shd w:val="clear" w:color="auto" w:fill="CCECFF"/>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7,968.2</w:t>
            </w:r>
          </w:p>
        </w:tc>
        <w:tc>
          <w:tcPr>
            <w:tcW w:w="34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2025 Notes will mature in the next twelve months and have been reclassified to current portion of long-term debt from long-term debt in the Condensed Consolidated Balance Sheets as of June 30, 2024. See Note 8 within the Company’s audited consolidated financial statements included in the 2023 Annual Report for additional information on the terms and conditions of the Company’s debt obligations.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made the quarterly scheduled amortization payments totaling $8.0 million and $16.0 million, respectively, on the Company's senior secured term loan due 2026 (the 2026 Term Loan). The current portion of long-term debt reflects repayments due under the 2026 Term Loan of $32.0 million and the 2025 Notes as described above.</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of June 30, 2024, the Company did not reflect any portion of the 2026 Term Loan as a current portion of long-term debt related to the potentially required excess cash flow payment because the amount that may be payable in 2024, if any, cannot currently be reliably estimated. There is no excess cash flow payment required in 2024 related to 2023.</w:t>
      </w:r>
    </w:p>
    <w:p>
      <w:pPr>
        <w:spacing w:after="0" w:line="17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 Company did not borrow under the Revolving Credit Facility. As of June 30, 2024, the Company had no outstanding borrowings under the Revolving Credit Facility and had availability of $535.4 million, after giving effect to borrowing base limitations and outstanding letters of credit.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Company’s non-guarantor subsidiaries held $2,760 million, or 31%, of total assets and $657 million, or 6%, of total liabilities as of June 30, 2024 and accounted for $446 million, or 32% and $802 million, or 31%, of net sales for the three and six months ended June 30, 2024, respectively. All amounts presented exclude intercompany balances.</w:t>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weighted average effective interest rate on outstanding borrowings, including the impact of the interest rate swap contracts and the amortization of debt issuance costs and original issue discount, was 7.22% as of both June 30, 2024 and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trade receivables, trade payables, debt instruments, interest rate swap contracts and foreign currency contracts. For cash and cash equivalents, trade receivables and trade payables, the carrying amounts of these financial instruments as of June 30, 2024 and December 31, 2023 were considered representative of their fair values due to their short terms to maturity. The fair values of the Company’s debt instruments, interest rate swap contracts and foreign currency contracts were based on indicative quotes.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3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the Company’s debt instruments, interest rate swap contracts and foreign currency contracts as of June 30, 2024 and December 31, 2023,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36"/>
        </w:trPr>
        <w:tc>
          <w:tcPr>
            <w:tcW w:w="4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7.125% senior notes due 2028</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4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5.00% senior notes due 2027</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8.25% senior notes due 2027</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notes due 2025</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4.75% senior secured notes due 2029</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6.00% senior secured notes due 2026</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Senior secured term loan due 2026</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2,735.6</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3,064.0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7"/>
        </w:trPr>
        <w:tc>
          <w:tcPr>
            <w:tcW w:w="498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During the second quarter of 2024, the Company recorded the assets acquired and liabilities assumed from the Casa Transaction. The fair values were determined using Level 3 valuation inputs. See Note 2 in these unaudited condensed consolidated financial statements.</w:t>
      </w:r>
    </w:p>
    <w:p>
      <w:pPr>
        <w:spacing w:after="0" w:line="16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During the first quarter of 2024, the Company recognized a loss on impairment of unutilized real estate within restructuring costs, net on the Condensed Consolidated Statements of Operations. The fair value was determined using Level 3 valuation inputs. See Note 10 in these unaudited condensed consolidated financial statements.</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SEGMENTS AND GEOGRAPHIC INFORMATION</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As a result of the divestiture of the Home business, the Company is reporting financial performance based on the following remaining four operating segments: CCS, OWN, NICS and ANS. As of January 1, 2024, management shifted certain product lines from the Company's CCS segment to its ANS segment to better align with how the businesses are being managed. For all periods presented, amounts have been recast to reflect these operating segment changes.</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Connectivity and Cable Solutions (CCS) segment provides fiber optic and copper connectivity and cable solutions for use in telecommunications, cable television, residential broadband networks, data centers and business enterprises.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Outdoor Wireless Networks (OWN) segment focuses on the macro and metro cell markets. The segment includes base station antennas, radio frequency (RF) filters, tower connectivity, microwave antennas, metro cell products, cabinets, steel, accessories and the wireless spectrum management business, Comsearch.</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Networking, Intelligent Cellular and Security Solutions (NICS) segment provides wireless networks for enterprises and service providers. Product offerings include indoor cellular solutions such as distributed antenna systems, public key infrastructure solutions, indoor and outdoor Wi-Fi and long-term evolution (LTE) access points, access and aggregation switches; an Internet of Things suite; on-premises and cloud-based control and management systems; and software and software-as-a-service applications addressing security, location, reporting and analytics.</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summary financial information by reportable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400" w:type="dxa"/>
            <w:vAlign w:val="bottom"/>
          </w:tcPr>
          <w:p>
            <w:pPr>
              <w:spacing w:after="0"/>
              <w:rPr>
                <w:sz w:val="16"/>
                <w:szCs w:val="16"/>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Identifiable segment-related assets:</w:t>
            </w:r>
          </w:p>
        </w:tc>
        <w:tc>
          <w:tcPr>
            <w:tcW w:w="148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78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CCS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OWN</w:t>
            </w:r>
          </w:p>
        </w:tc>
        <w:tc>
          <w:tcPr>
            <w:tcW w:w="14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NICS</w:t>
            </w: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Pr>
          <w:p>
            <w:pPr>
              <w:spacing w:after="0"/>
              <w:rPr>
                <w:sz w:val="20"/>
                <w:szCs w:val="20"/>
                <w:color w:val="auto"/>
              </w:rPr>
            </w:pPr>
          </w:p>
        </w:tc>
      </w:tr>
      <w:tr>
        <w:trPr>
          <w:trHeight w:val="247"/>
        </w:trPr>
        <w:tc>
          <w:tcPr>
            <w:tcW w:w="64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ANS</w:t>
            </w:r>
          </w:p>
        </w:tc>
        <w:tc>
          <w:tcPr>
            <w:tcW w:w="148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4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segment-related assets</w:t>
            </w: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7,875.7</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7,820.1</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Reconciliation to total assets:</w:t>
            </w:r>
          </w:p>
        </w:tc>
        <w:tc>
          <w:tcPr>
            <w:tcW w:w="148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tcPr>
          <w:p>
            <w:pPr>
              <w:spacing w:after="0"/>
              <w:rPr>
                <w:sz w:val="20"/>
                <w:szCs w:val="20"/>
                <w:color w:val="auto"/>
              </w:rPr>
            </w:pPr>
          </w:p>
        </w:tc>
      </w:tr>
      <w:tr>
        <w:trPr>
          <w:trHeight w:val="247"/>
        </w:trPr>
        <w:tc>
          <w:tcPr>
            <w:tcW w:w="64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8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4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00" w:type="dxa"/>
            <w:vAlign w:val="bottom"/>
            <w:shd w:val="clear" w:color="auto" w:fill="CCECFF"/>
          </w:tcPr>
          <w:p>
            <w:pPr>
              <w:spacing w:after="0"/>
              <w:rPr>
                <w:sz w:val="21"/>
                <w:szCs w:val="21"/>
                <w:color w:val="auto"/>
              </w:rPr>
            </w:pPr>
          </w:p>
        </w:tc>
      </w:tr>
      <w:tr>
        <w:trPr>
          <w:trHeight w:val="238"/>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business assets</w:t>
            </w: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r>
      <w:tr>
        <w:trPr>
          <w:trHeight w:val="247"/>
        </w:trPr>
        <w:tc>
          <w:tcPr>
            <w:tcW w:w="640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148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spacing w:after="0"/>
              <w:rPr>
                <w:sz w:val="21"/>
                <w:szCs w:val="21"/>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8,821.0</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-1120775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-1120775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Home business assets line item above reflects certain assets retained by the Company related to the Home business, with the primary asset being net inventory in the amount of $38.2 million and $88.0 million as of June 30, 2024 and December 31, 2023, respectively. The Company entered into the Vantiva Supply Agreement, whereby the Company will sell the retained inventory to Vantiva at cost, or market price if below cost, for a period of two years following the close of the transaction.</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adjusted EBITDA, depreciation expense and additions to property, plant and equipment by reportable segment: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CFF"/>
          </w:tcPr>
          <w:p>
            <w:pPr>
              <w:spacing w:after="0"/>
              <w:rPr>
                <w:sz w:val="20"/>
                <w:szCs w:val="20"/>
                <w:color w:val="auto"/>
              </w:rPr>
            </w:pPr>
          </w:p>
        </w:tc>
        <w:tc>
          <w:tcPr>
            <w:tcW w:w="7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70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20"/>
                <w:szCs w:val="20"/>
                <w:color w:val="auto"/>
              </w:rPr>
            </w:pPr>
          </w:p>
        </w:tc>
      </w:tr>
      <w:tr>
        <w:trPr>
          <w:trHeight w:val="247"/>
        </w:trPr>
        <w:tc>
          <w:tcPr>
            <w:tcW w:w="68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3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0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7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32"/>
        </w:trPr>
        <w:tc>
          <w:tcPr>
            <w:tcW w:w="688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300" w:type="dxa"/>
            <w:vAlign w:val="bottom"/>
            <w:tcBorders>
              <w:top w:val="single" w:sz="8" w:color="CCEC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6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60" w:type="dxa"/>
            <w:vAlign w:val="bottom"/>
            <w:tcBorders>
              <w:top w:val="single" w:sz="8" w:color="CCEC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top w:val="single" w:sz="8" w:color="CCECFF"/>
            </w:tcBorders>
          </w:tcPr>
          <w:p>
            <w:pPr>
              <w:spacing w:after="0"/>
              <w:rPr>
                <w:sz w:val="20"/>
                <w:szCs w:val="20"/>
                <w:color w:val="auto"/>
              </w:rPr>
            </w:pP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(60.4 )</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(75.8 )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(134.6 )</w:t>
            </w:r>
          </w:p>
        </w:tc>
        <w:tc>
          <w:tcPr>
            <w:tcW w:w="1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(176.4 )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(36.6 )</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(31.5 )</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(32.3 )</w:t>
            </w: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(0.8 )</w:t>
            </w:r>
          </w:p>
        </w:tc>
      </w:tr>
      <w:tr>
        <w:trPr>
          <w:trHeight w:val="23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CFF"/>
          </w:tcPr>
          <w:p>
            <w:pPr>
              <w:spacing w:after="0"/>
              <w:rPr>
                <w:sz w:val="21"/>
                <w:szCs w:val="21"/>
                <w:color w:val="auto"/>
              </w:rPr>
            </w:pPr>
          </w:p>
        </w:tc>
        <w:tc>
          <w:tcPr>
            <w:tcW w:w="9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CFF"/>
          </w:tcPr>
          <w:p>
            <w:pPr>
              <w:spacing w:after="0"/>
              <w:rPr>
                <w:sz w:val="21"/>
                <w:szCs w:val="21"/>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(22.7 )</w:t>
            </w:r>
          </w:p>
        </w:tc>
        <w:tc>
          <w:tcPr>
            <w:tcW w:w="2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(27.6 )</w:t>
            </w: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(48.2 )</w:t>
            </w:r>
          </w:p>
        </w:tc>
        <w:tc>
          <w:tcPr>
            <w:tcW w:w="18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(55.5 )</w:t>
            </w:r>
          </w:p>
        </w:tc>
      </w:tr>
      <w:tr>
        <w:trPr>
          <w:trHeight w:val="276"/>
        </w:trPr>
        <w:tc>
          <w:tcPr>
            <w:tcW w:w="6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CFF"/>
          </w:tcPr>
          <w:p>
            <w:pPr>
              <w:spacing w:after="0"/>
              <w:rPr>
                <w:sz w:val="21"/>
                <w:szCs w:val="21"/>
                <w:color w:val="auto"/>
              </w:rPr>
            </w:pPr>
          </w:p>
        </w:tc>
      </w:tr>
      <w:tr>
        <w:trPr>
          <w:trHeight w:val="243"/>
        </w:trPr>
        <w:tc>
          <w:tcPr>
            <w:tcW w:w="68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r>
      <w:tr>
        <w:trPr>
          <w:trHeight w:val="276"/>
        </w:trPr>
        <w:tc>
          <w:tcPr>
            <w:tcW w:w="6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depreciation expense</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CFF"/>
          </w:tcPr>
          <w:p>
            <w:pPr>
              <w:spacing w:after="0"/>
              <w:rPr>
                <w:sz w:val="21"/>
                <w:szCs w:val="2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68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CFF"/>
          </w:tcPr>
          <w:p>
            <w:pPr>
              <w:spacing w:after="0"/>
              <w:rPr>
                <w:sz w:val="21"/>
                <w:szCs w:val="21"/>
                <w:color w:val="auto"/>
              </w:rPr>
            </w:pPr>
          </w:p>
        </w:tc>
      </w:tr>
      <w:tr>
        <w:trPr>
          <w:trHeight w:val="243"/>
        </w:trPr>
        <w:tc>
          <w:tcPr>
            <w:tcW w:w="68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r>
      <w:tr>
        <w:trPr>
          <w:trHeight w:val="276"/>
        </w:trPr>
        <w:tc>
          <w:tcPr>
            <w:tcW w:w="6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Consolidated additions to property, plant and equipment</w:t>
            </w: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bottom w:val="single" w:sz="8" w:color="CCECFF"/>
            </w:tcBorders>
            <w:shd w:val="clear" w:color="auto" w:fill="CCECFF"/>
          </w:tcPr>
          <w:p>
            <w:pPr>
              <w:spacing w:after="0"/>
              <w:rPr>
                <w:sz w:val="24"/>
                <w:szCs w:val="24"/>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4971415</wp:posOffset>
            </wp:positionH>
            <wp:positionV relativeFrom="paragraph">
              <wp:posOffset>-5384800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-5384800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-5384800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-4117975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-4117975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-4117975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-4117975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-2559685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-2542540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-2559685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-2542540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-2559685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-2542540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-1292225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-1275080</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-1292225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-1275080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-1292225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-1275080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40" w:right="20" w:hanging="532"/>
        <w:spacing w:after="0" w:line="26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line item above reflects general corporate costs that were previously allocated to the Home segment. These indirect expenses have been classified as continuing operations for the prior year periods, since the costs were not directly attributable to the discontinued operations of the Home business. Beginning in the first quarter of 2024, these costs have been reallocated to the Company's remaining segments and are partially offset by income from the Vantiva TSA.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Sales to customers located outside of the U.S. comprised 35.9% and 35.6% of total net sales for the three and six months ended June 30, 2024, respectively, compared to 37.3% and 34.1% of total net sales for the three and six months ended June 30, 2023, respectively. Sales by geographic region, based on the destination of product shipments or service provided, were as follows:</w:t>
      </w:r>
    </w:p>
    <w:p>
      <w:pPr>
        <w:sectPr>
          <w:pgSz w:w="11900" w:h="16838" w:orient="portrait"/>
          <w:cols w:equalWidth="0" w:num="1">
            <w:col w:w="11200"/>
          </w:cols>
          <w:pgMar w:left="320" w:top="764" w:right="3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Geographic Region: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Asia Pacific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Caribbean and Latin America</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RESTRUCTURING COSTS, NET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w:t>
            </w: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NICS</w:t>
            </w: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ANS</w:t>
            </w: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50"/>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8"/>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31"/>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NICS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ANS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8"/>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04"/>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NICS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ANS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50"/>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38"/>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31"/>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CCS</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OWN</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NICS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ANS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43"/>
        </w:trPr>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50"/>
        </w:trPr>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8"/>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3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-5718810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-5410835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-5102860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-4177665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-3869690</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-3561080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-4785995</wp:posOffset>
            </wp:positionV>
            <wp:extent cx="713232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-3244215</wp:posOffset>
            </wp:positionV>
            <wp:extent cx="713232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-2653665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-2345690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-2037080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-1112520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-804545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-495935</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-1720215</wp:posOffset>
            </wp:positionV>
            <wp:extent cx="71323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-179070</wp:posOffset>
            </wp:positionV>
            <wp:extent cx="713232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3500" w:space="720"/>
            <w:col w:w="6980"/>
          </w:cols>
          <w:pgMar w:left="320" w:top="764" w:right="379" w:bottom="1440" w:gutter="0" w:footer="0" w:header="0"/>
          <w:type w:val="continuous"/>
        </w:sect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17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addition to the employee-related costs, the Company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Company’s net pretax restructuring activity included in restructuring costs, net on the Condensed Consolidated Statements of Operations, by segment, was as follows: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18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43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4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CCS</w:t>
            </w:r>
          </w:p>
        </w:tc>
        <w:tc>
          <w:tcPr>
            <w:tcW w:w="640" w:type="dxa"/>
            <w:vAlign w:val="bottom"/>
            <w:shd w:val="clear" w:color="auto" w:fill="CCEC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CFF"/>
          </w:tcPr>
          <w:p>
            <w:pPr>
              <w:spacing w:after="0"/>
              <w:rPr>
                <w:sz w:val="20"/>
                <w:szCs w:val="20"/>
                <w:color w:val="auto"/>
              </w:rPr>
            </w:pPr>
          </w:p>
        </w:tc>
        <w:tc>
          <w:tcPr>
            <w:tcW w:w="620" w:type="dxa"/>
            <w:vAlign w:val="bottom"/>
            <w:shd w:val="clear" w:color="auto" w:fill="CCEC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4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OWN</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r>
      <w:tr>
        <w:trPr>
          <w:trHeight w:val="247"/>
        </w:trPr>
        <w:tc>
          <w:tcPr>
            <w:tcW w:w="43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NICS</w:t>
            </w:r>
          </w:p>
        </w:tc>
        <w:tc>
          <w:tcPr>
            <w:tcW w:w="640" w:type="dxa"/>
            <w:vAlign w:val="bottom"/>
            <w:shd w:val="clear" w:color="auto" w:fill="CCECFF"/>
          </w:tcPr>
          <w:p>
            <w:pPr>
              <w:spacing w:after="0"/>
              <w:rPr>
                <w:sz w:val="21"/>
                <w:szCs w:val="2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CFF"/>
          </w:tcPr>
          <w:p>
            <w:pPr>
              <w:spacing w:after="0"/>
              <w:rPr>
                <w:sz w:val="21"/>
                <w:szCs w:val="21"/>
                <w:color w:val="auto"/>
              </w:rPr>
            </w:pPr>
          </w:p>
        </w:tc>
        <w:tc>
          <w:tcPr>
            <w:tcW w:w="620" w:type="dxa"/>
            <w:vAlign w:val="bottom"/>
            <w:shd w:val="clear" w:color="auto" w:fill="CCECFF"/>
          </w:tcPr>
          <w:p>
            <w:pPr>
              <w:spacing w:after="0"/>
              <w:rPr>
                <w:sz w:val="21"/>
                <w:szCs w:val="21"/>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CFF"/>
          </w:tcPr>
          <w:p>
            <w:pPr>
              <w:spacing w:after="0"/>
              <w:rPr>
                <w:sz w:val="21"/>
                <w:szCs w:val="21"/>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ANS</w:t>
            </w:r>
          </w:p>
        </w:tc>
        <w:tc>
          <w:tcPr>
            <w:tcW w:w="64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(1.1 )</w:t>
            </w:r>
          </w:p>
        </w:tc>
        <w:tc>
          <w:tcPr>
            <w:tcW w:w="6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r>
      <w:tr>
        <w:trPr>
          <w:trHeight w:val="247"/>
        </w:trPr>
        <w:tc>
          <w:tcPr>
            <w:tcW w:w="43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tcBorders>
              <w:bottom w:val="single" w:sz="8" w:color="auto"/>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auto"/>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CFF"/>
            </w:tcBorders>
            <w:shd w:val="clear" w:color="auto" w:fill="CCECFF"/>
          </w:tcPr>
          <w:p>
            <w:pPr>
              <w:spacing w:after="0"/>
              <w:rPr>
                <w:sz w:val="21"/>
                <w:szCs w:val="21"/>
                <w:color w:val="auto"/>
              </w:rPr>
            </w:pP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0"/>
                <w:szCs w:val="20"/>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-187960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-187960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The corporate and other line item above reflects general corporate restructuring costs that were previously allocated to the Home segment. These indirect expenses have been classified as continuing operations for the prior year periods presented, since the costs were not directly attributable to the discontinued operations of the Home business. Beginning in the first quarter of 2024, these costs have been reallocated to the Company’s remaining segments.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liabilities were included in the Company’s Condensed Consolidated Balance Sheets as follows:</w:t>
      </w:r>
    </w:p>
    <w:p>
      <w:pPr>
        <w:spacing w:after="0" w:line="17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340" w:type="dxa"/>
            <w:vAlign w:val="bottom"/>
          </w:tcPr>
          <w:p>
            <w:pPr>
              <w:spacing w:after="0"/>
              <w:rPr>
                <w:sz w:val="16"/>
                <w:szCs w:val="16"/>
                <w:color w:val="auto"/>
              </w:rPr>
            </w:pPr>
          </w:p>
        </w:tc>
        <w:tc>
          <w:tcPr>
            <w:tcW w:w="12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43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220" w:type="dxa"/>
            <w:vAlign w:val="bottom"/>
            <w:shd w:val="clear" w:color="auto" w:fill="CCEC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20" w:type="dxa"/>
            <w:vAlign w:val="bottom"/>
            <w:gridSpan w:val="2"/>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CFF"/>
          </w:tcPr>
          <w:p>
            <w:pPr>
              <w:spacing w:after="0"/>
              <w:rPr>
                <w:sz w:val="20"/>
                <w:szCs w:val="20"/>
                <w:color w:val="auto"/>
              </w:rPr>
            </w:pP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r>
      <w:tr>
        <w:trPr>
          <w:trHeight w:val="276"/>
        </w:trPr>
        <w:tc>
          <w:tcPr>
            <w:tcW w:w="43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restructuring liabilities</w:t>
            </w:r>
          </w:p>
        </w:tc>
        <w:tc>
          <w:tcPr>
            <w:tcW w:w="1220" w:type="dxa"/>
            <w:vAlign w:val="bottom"/>
            <w:tcBorders>
              <w:bottom w:val="single" w:sz="8" w:color="auto"/>
            </w:tcBorders>
            <w:shd w:val="clear" w:color="auto" w:fill="CCEC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-24765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CommScope NEXT Restructuring Actions</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Employee-Related</w:t>
            </w:r>
          </w:p>
        </w:tc>
        <w:tc>
          <w:tcPr>
            <w:tcW w:w="320" w:type="dxa"/>
            <w:vAlign w:val="bottom"/>
          </w:tcPr>
          <w:p>
            <w:pPr>
              <w:spacing w:after="0"/>
              <w:rPr>
                <w:sz w:val="13"/>
                <w:szCs w:val="13"/>
                <w:color w:val="auto"/>
              </w:rPr>
            </w:pPr>
          </w:p>
        </w:tc>
        <w:tc>
          <w:tcPr>
            <w:tcW w:w="10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shd w:val="clear" w:color="auto" w:fill="CCECFF"/>
          </w:tcPr>
          <w:p>
            <w:pPr>
              <w:spacing w:after="0"/>
              <w:rPr>
                <w:sz w:val="20"/>
                <w:szCs w:val="20"/>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shd w:val="clear" w:color="auto" w:fill="CCECFF"/>
          </w:tcPr>
          <w:p>
            <w:pPr>
              <w:spacing w:after="0"/>
              <w:rPr>
                <w:sz w:val="21"/>
                <w:szCs w:val="21"/>
                <w:color w:val="auto"/>
              </w:rPr>
            </w:pPr>
          </w:p>
        </w:tc>
        <w:tc>
          <w:tcPr>
            <w:tcW w:w="16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(6.9 )</w:t>
            </w:r>
          </w:p>
        </w:tc>
        <w:tc>
          <w:tcPr>
            <w:tcW w:w="32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(0.1 )</w:t>
            </w:r>
          </w:p>
        </w:tc>
        <w:tc>
          <w:tcPr>
            <w:tcW w:w="3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Third-party indemnification receivable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8"/>
                <w:szCs w:val="18"/>
                <w:color w:val="auto"/>
              </w:rPr>
              <w:t>(0.7 )</w:t>
            </w:r>
          </w:p>
        </w:tc>
        <w:tc>
          <w:tcPr>
            <w:tcW w:w="3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6"/>
        </w:trPr>
        <w:tc>
          <w:tcPr>
            <w:tcW w:w="624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top w:val="single" w:sz="8" w:color="CCECFF"/>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CFF"/>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C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Additional expense, net</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(15.9 )</w:t>
            </w:r>
          </w:p>
        </w:tc>
        <w:tc>
          <w:tcPr>
            <w:tcW w:w="3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(0.4 )</w:t>
            </w:r>
          </w:p>
        </w:tc>
        <w:tc>
          <w:tcPr>
            <w:tcW w:w="3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47"/>
        </w:trPr>
        <w:tc>
          <w:tcPr>
            <w:tcW w:w="624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Third-party indemnification receivable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1"/>
                <w:szCs w:val="21"/>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non-cash items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(24.5 )</w:t>
            </w:r>
          </w:p>
        </w:tc>
        <w:tc>
          <w:tcPr>
            <w:tcW w:w="3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76"/>
        </w:trPr>
        <w:tc>
          <w:tcPr>
            <w:tcW w:w="6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Borders>
              <w:bottom w:val="single" w:sz="8" w:color="CCECFF"/>
            </w:tcBorders>
            <w:shd w:val="clear" w:color="auto" w:fill="CCECFF"/>
          </w:tcPr>
          <w:p>
            <w:pPr>
              <w:spacing w:after="0"/>
              <w:rPr>
                <w:sz w:val="24"/>
                <w:szCs w:val="24"/>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CFF"/>
            </w:tcBorders>
            <w:shd w:val="clear" w:color="auto" w:fill="CCEC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-1301115</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-1301115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reimbursement of severance and other costs from a third-party, for which the Company is obligated to pay.</w:t>
      </w:r>
    </w:p>
    <w:p>
      <w:pPr>
        <w:spacing w:after="0" w:line="22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CommScope NEXT actions to date have included the closure of manufacturing, administration and warehouse facilities, as well as headcount reductions in other manufacturing locations and engineering, marketing, sales and administrative functions, and asset impairments associated with restructuring-related actions. During the three and six months ended June 30, 2024, additional expenses were recorded for employee-related costs for severance. Other costs included the impairment of idled administration and engineering facilities during the three and six months ended June 30, 2024.</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CommScope Holding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unless otherwise noted)</w:t>
      </w:r>
    </w:p>
    <w:p>
      <w:pPr>
        <w:spacing w:after="0" w:line="200" w:lineRule="exact"/>
        <w:rPr>
          <w:sz w:val="20"/>
          <w:szCs w:val="20"/>
          <w:color w:val="auto"/>
        </w:rPr>
      </w:pPr>
    </w:p>
    <w:p>
      <w:pPr>
        <w:spacing w:after="0" w:line="222"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has recognized restructuring charges of $205.9 million to date related to CommScope NEXT actions. The Company expects to make cash payments of $9.9 million during the remainder of 2024 to settle CommScope NEXT restructuring actions. Additional restructuring actions related to CommScope NEXT are expected to be identified, and the resulting charges and cash requirements could be material.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SERIES A CONVERTIBLE PREFERRED STOCK</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June 30, 2024, the Company had authorized 1,400,000 shares of the Convertible Preferred Stock.</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During the three and six months ended June 30, 2024 and 2023, the Company paid dividends in-kind of $16.2 million and $32.2 million, respectively, and $15.3 million and $30.4 million, respectively, which were recorded as additional Convertible Preferred Stock in the Condensed Consolidated Balance Sheets.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CommScope has entered into a definitive agreement to sell its OWN segment as well as the Distributed Antenna Systems business unit of its NICS segment to Amphenol Corporation. CommScope will receive approximately $2.1 billion in cash, to be paid by Amphenol upon closing. The sale is expected to close within the first half of 2025, subject to customary closing conditions, including receipt of applicable regulatory approvals.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narrative is an analysis of the three and six months ended June 30, 2024 compared to the three and six months ended June 30, 2023.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2023 (2023 Annual Report).</w:t>
      </w:r>
    </w:p>
    <w:p>
      <w:pPr>
        <w:spacing w:after="0" w:line="18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below for more information about these non-GAAP financial measures, including our reasons for including the measures and material limitations with respect to the usefulness of the measures.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global provider of infrastructure solutions for communication, data center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completed the acquisition of certain assets of Casa Systems, Inc. and its subsidiaries (Casa) on June 7, 2024 (the Casa Transaction). </w:t>
      </w:r>
      <w:r>
        <w:rPr>
          <w:rFonts w:ascii="Times New Roman" w:cs="Times New Roman" w:eastAsia="Times New Roman" w:hAnsi="Times New Roman"/>
          <w:sz w:val="18"/>
          <w:szCs w:val="18"/>
          <w:color w:val="252525"/>
        </w:rPr>
        <w:t>As part of the Casa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Transaction, we acquired certain assets (the Casa Assets) and assumed certain specified liabilities (the Casa Liabilities) of Casa. The sale was conducted pursuant to the bid procedures (the Bid Procedures) established in the chapter 11 cases of Casa Systems, Inc. and certain affiliates in the U.S. Bankruptcy Court for the District of Delaware (the Bankruptcy Court). Pursuant to the Bid Procedures, we were designated as the successful bidder following an auction held on May 29, 2024. On June 5, 2024, the Bankruptcy Court entered an order authorizing the sale of the Casa Assets to us pursuant to section 363 of the Bankruptcy Court (subject to the terms thereof). The sale closed on June 7, 2024 and, at such time, we funded the purchase price of $45.1 million and settled certain assumed Casa Liabilities, with cash on hand. We plan to integrate this strategic acquisition into our Access Network Solutions (ANS) segment and expect the acquisition to strengthen our ANS segment’s position by enhancing its </w:t>
      </w:r>
      <w:r>
        <w:rPr>
          <w:rFonts w:ascii="Times New Roman" w:cs="Times New Roman" w:eastAsia="Times New Roman" w:hAnsi="Times New Roman"/>
          <w:sz w:val="18"/>
          <w:szCs w:val="18"/>
          <w:color w:val="000000"/>
        </w:rPr>
        <w:t>virtual cable modem termination systems and passive optical</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network </w:t>
      </w:r>
      <w:r>
        <w:rPr>
          <w:rFonts w:ascii="Times New Roman" w:cs="Times New Roman" w:eastAsia="Times New Roman" w:hAnsi="Times New Roman"/>
          <w:sz w:val="18"/>
          <w:szCs w:val="18"/>
          <w:color w:val="252525"/>
        </w:rPr>
        <w:t>product offerings, which will enable customers to migrate to distributed access architecture solutions at their own speed, and further grow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customer base. </w:t>
      </w:r>
      <w:r>
        <w:rPr>
          <w:rFonts w:ascii="Times New Roman" w:cs="Times New Roman" w:eastAsia="Times New Roman" w:hAnsi="Times New Roman"/>
          <w:sz w:val="18"/>
          <w:szCs w:val="18"/>
          <w:color w:val="000000"/>
        </w:rPr>
        <w:t>We recorded $1.0 million of transaction and integration costs for both the three and six months ended June 30, 2024 related to the Casa</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Transaction, and these costs were recognized in selling, general and administrative expense in the Condensed Consolidated Statements of Operations. See Note 2 in the Notes to Unaudited Condensed Consolidated Financial Statements for further discussion of the Casa Transaction.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CommScope NEXT</w:t>
      </w:r>
    </w:p>
    <w:p>
      <w:pPr>
        <w:spacing w:after="0" w:line="11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Since 2021, we have been engaged in a transformation initiative referred to as CommScope NEXT, which is designed to drive shareholder value through three pillars: profitable growth, operational efficiency and portfolio optimization. We believe these efforts are critical to making us more competitive and allowing us to invest in growth, de-leverage our indebtedness and maximize stockholder and other stakeholder value in the future. In 2022, CommScope NEXT generated positive impacts on net sales, profitability and cash flow from our execution on pricing initiatives, capacity expansion and operational efficiencies. In 2023, we experienced headwinds related to a slow-down in spending by our customers as discussed further below, but we continued to execute under CommScope NEXT to improve our profitability and cash flows by continuing to drive operational efficiencies and focusing on portfolio optimization. In the first half of 2024, we continued to focus on driving operational efficiencies and other cost savings initiatives as well as portfolio optimization, all of which should enable us to take advantage of the expected recovery in demand in the second half of 2024. To that end, we incurred $0.9 million and $31.5 million of net restructuring costs and $23.7 million and $32.3 million of transaction, transformation and integration costs during the three and six months ended June 30, 2024, respectively, primarily related to CommScope NEXT initiatives. We expect to continue to incur such costs during the remainder of 2024 as we continue executing on CommScope NEXT initiatives, and the resulting charges and cash requirements could be material.</w:t>
      </w:r>
    </w:p>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9, 2024, we completed the sale of our Home Networks (Home) segment and substantially all of the associated segment assets and liabilities (Home business) to Vantiva SA (Vantiva) pursuant to the Call Option Agreement entered into on October 2, 2023 and the Purchase Agreement dated as of December 7, 2023. In the fourth quarter of 2023, we determined the sale of our Home business met the “held for sale” criteria and the “discontinued operations” criteria in accordance with accounting guidance. All prior period amounts have been recast to reflect the discontinuation of our Home business. Unless otherwise noted, the following discussions relate solely to our continuing operations. For further discussion of the discontinued operation related to our Home business, see Note 3 in the Notes to Unaudited Condensed Consolidated Financial Statements.</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continuing operations results for the prior year periods include general corporate costs that were previously allocated to the Home segment. These indirect costs, reflected on the corporate and other line item within our segment information below, are classified as continuing operations for the prior year periods presented, since they were not directly attributable to the discontinued operations of the Home segment. Beginning in the first quarter of 2024, these costs have been reallocated to our remaining segments and partially offset by income from our transition services agreement with Vantiva.</w:t>
      </w:r>
    </w:p>
    <w:p>
      <w:pPr>
        <w:spacing w:after="0" w:line="18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As a result of the divestiture of the Home business, we are now reporting financial performance based on the following remaining four operating segments, which excludes our Home business: Connectivity and Cable Solutions (CCS), Outdoor Wireless Networks (OWN), Networking, Intelligent Cellular and Security Solutions (NICS) and ANS. For the prior year periods presented, amounts have been recast to reflect these operating segment changes.</w:t>
      </w:r>
    </w:p>
    <w:p>
      <w:pPr>
        <w:spacing w:after="0" w:line="15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As of January 1, 2024, we shifted certain product lines from our CCS segment to our ANS segment to better align with how the businesses are being managed. All prior period amounts have been recast to reflect these operating segment changes.</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2024, we entered into a definitive agreement to sell our OWN segment as well as the Distributed Antenna Systems (DAS) business unit of our NICS segment to Amphenol Corporation. As such, below we refer to certain supplementary Core financial measures, which reflect the results of the CCS, NICS excluding Distributed Antenna Systems (DAS), and ANS segments, in the aggregate. Core financial measures exclude the results and performance of the OWN segment and DAS business unit in NICS. The Core results and the OWN and DAS results represent the business results as currently managed and reported by the Company. Future results and the composition of any business divested in the future may vary and differ materially from the presentation of the Core financial measures. See the Segment Results section below for the aggregation of our Core financial measures.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Impacts of Current Economic Conditions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2023, macroeconomic factors such as higher interest rates, inflation and concerns about a global economic slow-down softened demand for our products, with certain customers reducing purchases as they right-sized their inventories and others pausing capital spending. This industry recession has continued to negatively impact our net sales in all segments for the first half of 2024. We are beginning to see a recovery in demand in certain businesses and expect to see additional recovery in demand later in 2024.</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2023, we began implementing additional cost savings initiatives to improve profitability, and we continued to implement further initiatives during the first half of 2024. These initiatives should enable us to take advantage of the expected recovery in demand later in 2024. If the expected recovery in demand of our products does not occur in 2024, our outlook will be materially impacted.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For more discussion on risks related to our customers, see Part I, Item 1A, “Risk Factors” in our 2023 Annual Report.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Other than an update to the impairment reviews of goodwill, there have been no changes in our critical accounting policies as disclosed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Reviews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Reviews of Goodwill</w:t>
      </w:r>
    </w:p>
    <w:p>
      <w:pPr>
        <w:spacing w:after="0" w:line="119" w:lineRule="exact"/>
        <w:rPr>
          <w:sz w:val="20"/>
          <w:szCs w:val="20"/>
          <w:color w:val="auto"/>
        </w:rPr>
      </w:pPr>
    </w:p>
    <w:p>
      <w:pPr>
        <w:jc w:val="both"/>
        <w:ind w:right="300"/>
        <w:spacing w:after="0" w:line="260" w:lineRule="auto"/>
        <w:rPr>
          <w:sz w:val="20"/>
          <w:szCs w:val="20"/>
          <w:color w:val="auto"/>
        </w:rPr>
      </w:pPr>
      <w:r>
        <w:rPr>
          <w:rFonts w:ascii="Times New Roman" w:cs="Times New Roman" w:eastAsia="Times New Roman" w:hAnsi="Times New Roman"/>
          <w:sz w:val="18"/>
          <w:szCs w:val="18"/>
          <w:color w:val="auto"/>
        </w:rPr>
        <w:t>Our annual goodwill impairment test as of October 1, 2023, resulted in partial impairment charges of $99.1 million and $46.3 million for the Enterprise (previously Building and Data Center Connectivity) and ANS reporting units, respectively. As of the most recent interim impairment test on January 1, 2024, immediately before and after changes in the composition of those reporting units, the implied fair value of the Enterprise and ANS reporting units exceeded its respective carrying amount by 8% and 7%, respectively.</w:t>
      </w:r>
    </w:p>
    <w:p>
      <w:pPr>
        <w:spacing w:after="0" w:line="18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Considering the low headroom going forward for each of the ANS and Enterprise reporting units, management has continued to disclose the risk for future impairment in the event of declines in general economic, market or business conditions or any significant unfavorable change in the forecasted cash flows, weighted average cost of capital or growth rates. If current and long-term projections for the ANS and Enterprise reporting units are not realized or decrease materially, we may be required to recognize additional goodwill impairment charges, and these charges could be material to our results of operations.</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Consistent with the information previously provided in our 2023 Annual Report, the following table provides summary information regarding our reporting units with goodwill balances as of January 1, 2024, that have the lowest level of headroom. The table presents key assumptions used in our interim goodwill analysis, along with sensitivity analyses showing the effect of a change in certain key assumptions, assuming all other assumptions remain constant, to the resulting fair value using an income approach.</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Key Assumptions</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8"/>
          </w:tcPr>
          <w:p>
            <w:pPr>
              <w:ind w:left="980"/>
              <w:spacing w:after="0"/>
              <w:rPr>
                <w:sz w:val="20"/>
                <w:szCs w:val="20"/>
                <w:color w:val="auto"/>
              </w:rPr>
            </w:pPr>
            <w:r>
              <w:rPr>
                <w:rFonts w:ascii="Times New Roman" w:cs="Times New Roman" w:eastAsia="Times New Roman" w:hAnsi="Times New Roman"/>
                <w:sz w:val="14"/>
                <w:szCs w:val="14"/>
                <w:b w:val="1"/>
                <w:bCs w:val="1"/>
                <w:color w:val="auto"/>
              </w:rPr>
              <w:t>Excess (Deficit) of Fair Value to Carrying Value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Decrease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Terminal</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0"/>
                <w:szCs w:val="10"/>
                <w:color w:val="auto"/>
              </w:rPr>
            </w:pPr>
          </w:p>
        </w:tc>
        <w:tc>
          <w:tcPr>
            <w:tcW w:w="12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Result of Interim</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 of</w:t>
            </w: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 of</w:t>
            </w: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Reporting</w:t>
            </w: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0.5% in Long-</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Growth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Goodwill Test as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 in Cash</w:t>
            </w: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term Growth</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0.5% in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4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January 1, 2024</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Flows</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ANS</w:t>
            </w:r>
          </w:p>
        </w:tc>
        <w:tc>
          <w:tcPr>
            <w:tcW w:w="1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14.0 %</w:t>
            </w:r>
          </w:p>
        </w:tc>
        <w:tc>
          <w:tcPr>
            <w:tcW w:w="1000" w:type="dxa"/>
            <w:vAlign w:val="bottom"/>
            <w:shd w:val="clear" w:color="auto" w:fill="CCECFF"/>
          </w:tcPr>
          <w:p>
            <w:pPr>
              <w:spacing w:after="0"/>
              <w:rPr>
                <w:sz w:val="14"/>
                <w:szCs w:val="14"/>
                <w:color w:val="auto"/>
              </w:rPr>
            </w:pPr>
          </w:p>
        </w:tc>
        <w:tc>
          <w:tcPr>
            <w:tcW w:w="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261.4</w:t>
            </w:r>
          </w:p>
        </w:tc>
        <w:tc>
          <w:tcPr>
            <w:tcW w:w="2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CFF"/>
          </w:tcPr>
          <w:p>
            <w:pPr>
              <w:ind w:left="620"/>
              <w:spacing w:after="0"/>
              <w:rPr>
                <w:sz w:val="20"/>
                <w:szCs w:val="20"/>
                <w:color w:val="auto"/>
              </w:rPr>
            </w:pPr>
            <w:r>
              <w:rPr>
                <w:rFonts w:ascii="Times New Roman" w:cs="Times New Roman" w:eastAsia="Times New Roman" w:hAnsi="Times New Roman"/>
                <w:sz w:val="14"/>
                <w:szCs w:val="14"/>
                <w:color w:val="auto"/>
              </w:rPr>
              <w:t>(38.6 )   $</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20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Enterprise</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11.0 %</w:t>
            </w:r>
          </w:p>
        </w:tc>
        <w:tc>
          <w:tcPr>
            <w:tcW w:w="100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1.5 %</w:t>
            </w:r>
          </w:p>
        </w:tc>
        <w:tc>
          <w:tcPr>
            <w:tcW w:w="14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742.3</w:t>
            </w:r>
          </w:p>
        </w:tc>
        <w:tc>
          <w:tcPr>
            <w:tcW w:w="24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(35.1 )</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RESULTS OF OPERATIONS FOR THE THREE AND SIX MONTHS ENDED JUNE 30, 2024 WITH THE THREE AND SIX MONTHS ENDED JUNE 30,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(201.9 )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68"/>
        </w:trPr>
        <w:tc>
          <w:tcPr>
            <w:tcW w:w="42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(215.6 )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(21.3 )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 earnings (loss) from continuing</w:t>
            </w:r>
          </w:p>
        </w:tc>
        <w:tc>
          <w:tcPr>
            <w:tcW w:w="18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operations per share</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shd w:val="clear" w:color="auto" w:fill="CCECFF"/>
          </w:tcPr>
          <w:p>
            <w:pPr>
              <w:spacing w:after="0"/>
              <w:rPr>
                <w:sz w:val="21"/>
                <w:szCs w:val="21"/>
                <w:color w:val="auto"/>
              </w:rPr>
            </w:pPr>
          </w:p>
        </w:tc>
        <w:tc>
          <w:tcPr>
            <w:tcW w:w="10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6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40" w:type="dxa"/>
            <w:vAlign w:val="bottom"/>
          </w:tcPr>
          <w:p>
            <w:pPr>
              <w:jc w:val="center"/>
              <w:ind w:right="54"/>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vMerge w:val="restart"/>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gridSpan w:val="9"/>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(697.9 )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68"/>
        </w:trPr>
        <w:tc>
          <w:tcPr>
            <w:tcW w:w="42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(634.1 )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(249.3 )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(128.6 )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Non-GAAP adjusted EBITDA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(111.3 )</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C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(144.1 )</w:t>
            </w: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(187.3 )</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Diluted loss from continuing operations</w:t>
            </w:r>
          </w:p>
        </w:tc>
        <w:tc>
          <w:tcPr>
            <w:tcW w:w="18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2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(0.30 )</w:t>
            </w:r>
          </w:p>
        </w:tc>
        <w:tc>
          <w:tcPr>
            <w:tcW w:w="100" w:type="dxa"/>
            <w:vAlign w:val="bottom"/>
            <w:shd w:val="clear" w:color="auto" w:fill="CCECFF"/>
          </w:tcPr>
          <w:p>
            <w:pPr>
              <w:spacing w:after="0"/>
              <w:rPr>
                <w:sz w:val="21"/>
                <w:szCs w:val="21"/>
                <w:color w:val="auto"/>
              </w:rPr>
            </w:pPr>
          </w:p>
        </w:tc>
        <w:tc>
          <w:tcPr>
            <w:tcW w:w="8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(0.73 )</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-3877945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-1523365</wp:posOffset>
            </wp:positionV>
            <wp:extent cx="71323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7" w:lineRule="exact"/>
        <w:rPr>
          <w:sz w:val="20"/>
          <w:szCs w:val="20"/>
          <w:color w:val="auto"/>
        </w:rPr>
      </w:pPr>
    </w:p>
    <w:p>
      <w:pPr>
        <w:ind w:left="540" w:right="620" w:hanging="532"/>
        <w:spacing w:after="0" w:line="265"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the CCS, NICS (excluding DAS), and ANS segments, in the aggregate. Core financial measures exclude the results and performance of the OWN segment and DAS business unit in NICS. See “Segment Results” section below for the aggregation of our Core financial measures.</w:t>
      </w:r>
    </w:p>
    <w:p>
      <w:pPr>
        <w:spacing w:after="0" w:line="69" w:lineRule="exact"/>
        <w:rPr>
          <w:rFonts w:ascii="Times New Roman" w:cs="Times New Roman" w:eastAsia="Times New Roman" w:hAnsi="Times New Roman"/>
          <w:sz w:val="18"/>
          <w:szCs w:val="18"/>
          <w:color w:val="auto"/>
        </w:rPr>
      </w:pPr>
    </w:p>
    <w:p>
      <w:pPr>
        <w:ind w:left="540" w:right="420" w:hanging="532"/>
        <w:spacing w:after="0" w:line="28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“Reconciliation of Non-GAAP Measures” in this Management’s Discussion and Analysis of Financial Condition and Results of Operations,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21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14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140" w:type="dxa"/>
            <w:vAlign w:val="bottom"/>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1,386.9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(201.9 )</w:t>
            </w:r>
          </w:p>
        </w:tc>
        <w:tc>
          <w:tcPr>
            <w:tcW w:w="15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(12.7 )%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(697.9 )</w:t>
            </w: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2"/>
              </w:rPr>
              <w:t>(21.5 )%</w:t>
            </w:r>
          </w:p>
        </w:tc>
      </w:tr>
      <w:tr>
        <w:trPr>
          <w:trHeight w:val="245"/>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(107.7 )</w:t>
            </w:r>
          </w:p>
        </w:tc>
        <w:tc>
          <w:tcPr>
            <w:tcW w:w="13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(10.8 )</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(498.2 )</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(23.2 )</w:t>
            </w:r>
          </w:p>
        </w:tc>
        <w:tc>
          <w:tcPr>
            <w:tcW w:w="100" w:type="dxa"/>
            <w:vAlign w:val="bottom"/>
          </w:tcPr>
          <w:p>
            <w:pPr>
              <w:spacing w:after="0"/>
              <w:rPr>
                <w:sz w:val="21"/>
                <w:szCs w:val="21"/>
                <w:color w:val="auto"/>
              </w:rPr>
            </w:pPr>
          </w:p>
        </w:tc>
      </w:tr>
      <w:tr>
        <w:trPr>
          <w:trHeight w:val="249"/>
        </w:trPr>
        <w:tc>
          <w:tcPr>
            <w:tcW w:w="21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3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3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1380" w:type="dxa"/>
            <w:vAlign w:val="bottom"/>
            <w:gridSpan w:val="3"/>
            <w:shd w:val="clear" w:color="auto" w:fill="CCECFF"/>
          </w:tcPr>
          <w:p>
            <w:pPr>
              <w:ind w:left="720"/>
              <w:spacing w:after="0"/>
              <w:rPr>
                <w:sz w:val="20"/>
                <w:szCs w:val="20"/>
                <w:color w:val="auto"/>
              </w:rPr>
            </w:pPr>
            <w:r>
              <w:rPr>
                <w:rFonts w:ascii="Times New Roman" w:cs="Times New Roman" w:eastAsia="Times New Roman" w:hAnsi="Times New Roman"/>
                <w:sz w:val="18"/>
                <w:szCs w:val="18"/>
                <w:color w:val="auto"/>
              </w:rPr>
              <w:t>(15.9 )</w:t>
            </w:r>
          </w:p>
        </w:tc>
        <w:tc>
          <w:tcPr>
            <w:tcW w:w="20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1,108.9</w:t>
            </w:r>
          </w:p>
        </w:tc>
        <w:tc>
          <w:tcPr>
            <w:tcW w:w="132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(199.7 )</w:t>
            </w:r>
          </w:p>
        </w:tc>
        <w:tc>
          <w:tcPr>
            <w:tcW w:w="100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w w:val="99"/>
              </w:rPr>
              <w:t>(18.0 )</w:t>
            </w:r>
          </w:p>
        </w:tc>
        <w:tc>
          <w:tcPr>
            <w:tcW w:w="100" w:type="dxa"/>
            <w:vAlign w:val="bottom"/>
          </w:tcPr>
          <w:p>
            <w:pPr>
              <w:spacing w:after="0"/>
              <w:rPr>
                <w:sz w:val="21"/>
                <w:szCs w:val="21"/>
                <w:color w:val="auto"/>
              </w:rPr>
            </w:pPr>
          </w:p>
        </w:tc>
      </w:tr>
      <w:tr>
        <w:trPr>
          <w:trHeight w:val="647"/>
        </w:trPr>
        <w:tc>
          <w:tcPr>
            <w:tcW w:w="2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w w:val="99"/>
              </w:rPr>
              <w:t>30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94"/>
        </w:trPr>
        <w:tc>
          <w:tcPr>
            <w:tcW w:w="2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-1643380</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31" w:name="page32"/>
    <w:bookmarkEnd w:id="31"/>
    <w:p>
      <w:pPr>
        <w:ind w:right="140"/>
        <w:spacing w:after="0" w:line="253" w:lineRule="auto"/>
        <w:rPr>
          <w:sz w:val="20"/>
          <w:szCs w:val="20"/>
          <w:color w:val="auto"/>
        </w:rPr>
      </w:pPr>
      <w:r>
        <w:rPr>
          <w:rFonts w:ascii="Times New Roman" w:cs="Times New Roman" w:eastAsia="Times New Roman" w:hAnsi="Times New Roman"/>
          <w:sz w:val="18"/>
          <w:szCs w:val="18"/>
          <w:color w:val="auto"/>
        </w:rPr>
        <w:t>Net sales for the three and six months ended June 30, 2024 decreased $201.9 million, or 12.7%, and $697.9 million, or 21.5%, respectively, compared to the prior year periods primarily driven by decreased sales volumes as certain customers have continued their reduced purchasing as they right-size their inventories and others have continued their pause in capital spending. Core net sales for the three and six months ended June 30, 2024 decreased $215.6 million, or 17.0%, and $634.1 million, or 24.5%, respectively, compared to the prior year periods. The decrease in core net sales for the three months ended June 30, 2024 was driven by lower net sales of $142.6 million in the ANS segment and $104.4 million in the NICS segment (excluding DAS), partially offset by increased net sales of $31.4 million in the CCS segment. The decrease in core net sales for the six months ended June 30, 2024 was driven by lower net sales of $255.6 million in the ANS segment, $193.5 million in the NICS segment (excluding DAS) and $185.0 million in the CCS segment. For the three and six months ended June 30, 2024, net sales in the OWN segment increased $27.5 million and decreased $34.9 million, respectively. For the three and six months ended June 30, 2024, net sales in the DAS business unit decreased $13.8 million and $28.9 million, respectively. For further details by segment, see “Segment Results”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 regional perspective, for the three months ended June 30, 2024 compared to the prior year period, net sales decreased in the U.S. by $107.7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 Middle East and Africa (EMEA) region by $59.0 million, the Caribbean and Latin American (CALA) region by $40.5 million and the Asia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(APAC) region by $4.9 million, but increased in Canada by $10.2 million. For the six months ended June 30, 2024 compared to the prior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net sales decreased in the U.S. by $498.2 million, the EMEA region by $120.1 million, the CALA region by $62.2 million, the APAC region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million and Canada by $3.5 million. Net sales to customers located outside of the U.S. comprised 35.9% and 35.6% of total net sales for the three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2024, respectively, compared to 37.3% and 34.1% for three and six months ended June 24, 2023, respectively. Foreign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changes did not have a material impact on our net sales during the three or six months ended June 30, 2024 compared to the prior year periods.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regional sales by segment, see “Segment Results” below and Note 9 in the Notes to Unaudited Condensed Consolidated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included herein.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TSA income, SG&amp;A expense and R&amp;D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vMerge w:val="continue"/>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2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(21.3 )</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(3.7 )% $</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(249.3 )</w:t>
            </w: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w w:val="96"/>
              </w:rPr>
              <w:t>(20.8 )%</w:t>
            </w:r>
          </w:p>
        </w:tc>
        <w:tc>
          <w:tcPr>
            <w:tcW w:w="0" w:type="dxa"/>
            <w:vAlign w:val="bottom"/>
          </w:tcPr>
          <w:p>
            <w:pPr>
              <w:spacing w:after="0"/>
              <w:rPr>
                <w:sz w:val="1"/>
                <w:szCs w:val="1"/>
                <w:color w:val="auto"/>
              </w:rPr>
            </w:pPr>
          </w:p>
        </w:tc>
      </w:tr>
      <w:tr>
        <w:trPr>
          <w:trHeight w:val="229"/>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39.5 %</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35.8 %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37.2 %</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36.9 %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TSA income</w:t>
            </w:r>
          </w:p>
        </w:tc>
        <w:tc>
          <w:tcPr>
            <w:tcW w:w="18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CFF"/>
          </w:tcPr>
          <w:p>
            <w:pPr>
              <w:spacing w:after="0"/>
              <w:rPr>
                <w:sz w:val="21"/>
                <w:szCs w:val="2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CECFF"/>
          </w:tcPr>
          <w:p>
            <w:pPr>
              <w:spacing w:after="0"/>
              <w:rPr>
                <w:sz w:val="21"/>
                <w:szCs w:val="21"/>
                <w:color w:val="auto"/>
              </w:rPr>
            </w:pPr>
          </w:p>
        </w:tc>
        <w:tc>
          <w:tcPr>
            <w:tcW w:w="1240" w:type="dxa"/>
            <w:vAlign w:val="bottom"/>
            <w:gridSpan w:val="3"/>
            <w:shd w:val="clear" w:color="auto" w:fill="CCECFF"/>
          </w:tcPr>
          <w:p>
            <w:pPr>
              <w:jc w:val="right"/>
              <w:ind w:right="400"/>
              <w:spacing w:after="0"/>
              <w:rPr>
                <w:sz w:val="20"/>
                <w:szCs w:val="20"/>
                <w:color w:val="auto"/>
              </w:rPr>
            </w:pPr>
            <w:r>
              <w:rPr>
                <w:rFonts w:ascii="Times New Roman" w:cs="Times New Roman" w:eastAsia="Times New Roman" w:hAnsi="Times New Roman"/>
                <w:sz w:val="16"/>
                <w:szCs w:val="16"/>
                <w:color w:val="auto"/>
              </w:rPr>
              <w:t>NM</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0" w:type="dxa"/>
            <w:vAlign w:val="bottom"/>
            <w:shd w:val="clear" w:color="auto" w:fill="CCECFF"/>
          </w:tcPr>
          <w:p>
            <w:pPr>
              <w:spacing w:after="0"/>
              <w:rPr>
                <w:sz w:val="21"/>
                <w:szCs w:val="21"/>
                <w:color w:val="auto"/>
              </w:rPr>
            </w:pPr>
          </w:p>
        </w:tc>
        <w:tc>
          <w:tcPr>
            <w:tcW w:w="980" w:type="dxa"/>
            <w:vAlign w:val="bottom"/>
            <w:gridSpan w:val="2"/>
            <w:shd w:val="clear" w:color="auto" w:fill="CCECFF"/>
          </w:tcPr>
          <w:p>
            <w:pPr>
              <w:ind w:left="60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0.6 %</w:t>
            </w:r>
          </w:p>
        </w:tc>
        <w:tc>
          <w:tcPr>
            <w:tcW w:w="2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0.7 %</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NM</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SG&amp;A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(19.7 )</w:t>
            </w:r>
          </w:p>
        </w:tc>
        <w:tc>
          <w:tcPr>
            <w:tcW w:w="10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(8.6 )</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2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462.0</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(52.0 )</w:t>
            </w:r>
          </w:p>
        </w:tc>
        <w:tc>
          <w:tcPr>
            <w:tcW w:w="980" w:type="dxa"/>
            <w:vAlign w:val="bottom"/>
            <w:gridSpan w:val="2"/>
            <w:shd w:val="clear" w:color="auto" w:fill="CCECFF"/>
          </w:tcPr>
          <w:p>
            <w:pPr>
              <w:ind w:left="520"/>
              <w:spacing w:after="0"/>
              <w:rPr>
                <w:sz w:val="20"/>
                <w:szCs w:val="20"/>
                <w:color w:val="auto"/>
              </w:rPr>
            </w:pPr>
            <w:r>
              <w:rPr>
                <w:rFonts w:ascii="Times New Roman" w:cs="Times New Roman" w:eastAsia="Times New Roman" w:hAnsi="Times New Roman"/>
                <w:sz w:val="16"/>
                <w:szCs w:val="16"/>
                <w:color w:val="auto"/>
              </w:rPr>
              <w:t>(11.3 )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15.2 %</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16.0 %</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R&amp;D expense</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28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2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6"/>
                <w:szCs w:val="16"/>
                <w:color w:val="auto"/>
              </w:rPr>
              <w:t>(36.7 )</w:t>
            </w:r>
          </w:p>
        </w:tc>
        <w:tc>
          <w:tcPr>
            <w:tcW w:w="10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(28.6 )</w:t>
            </w:r>
          </w:p>
        </w:tc>
        <w:tc>
          <w:tcPr>
            <w:tcW w:w="180" w:type="dxa"/>
            <w:vAlign w:val="bottom"/>
            <w:shd w:val="clear" w:color="auto" w:fill="CCECFF"/>
          </w:tcPr>
          <w:p>
            <w:pPr>
              <w:spacing w:after="0"/>
              <w:rPr>
                <w:sz w:val="20"/>
                <w:szCs w:val="20"/>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24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260" w:type="dxa"/>
            <w:vAlign w:val="bottom"/>
            <w:shd w:val="clear" w:color="auto" w:fill="CCECFF"/>
          </w:tcPr>
          <w:p>
            <w:pPr>
              <w:spacing w:after="0"/>
              <w:rPr>
                <w:sz w:val="20"/>
                <w:szCs w:val="20"/>
                <w:color w:val="auto"/>
              </w:rPr>
            </w:pPr>
          </w:p>
        </w:tc>
        <w:tc>
          <w:tcPr>
            <w:tcW w:w="9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6"/>
                <w:szCs w:val="16"/>
                <w:color w:val="auto"/>
              </w:rPr>
              <w:t>(57.9 )</w:t>
            </w:r>
          </w:p>
        </w:tc>
        <w:tc>
          <w:tcPr>
            <w:tcW w:w="980" w:type="dxa"/>
            <w:vAlign w:val="bottom"/>
            <w:gridSpan w:val="2"/>
            <w:shd w:val="clear" w:color="auto" w:fill="CCECFF"/>
          </w:tcPr>
          <w:p>
            <w:pPr>
              <w:ind w:left="520"/>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 a percent of sales</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6.6 %</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8.1 %</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7.8 %</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-1159510</wp:posOffset>
            </wp:positionV>
            <wp:extent cx="713232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(net sales less cost of sales)</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Gross profit decreased by $21.3 million and $249.3 million for the three and six months ended June 30, 2024, respectively, compared to the prior year periods primarily due to lower net sales volumes, partially offset by favorable product mix and lower input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 agreement income</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Transition service agreement (TSA) income is related to the TSA we entered into with Vantiva in conjunction with the closing of the transaction to divest of the Home business in January 2024. Under the TSA agreement, we are providing (and in some instances receiving) certain post-closing support on a transitional basis. The TSA has varying terms for duration up to sixteen months, depending on the service, and provides for options to extend services for up to two renewal terms of three months each. The majority of the services are expected to cease by the end of 2024.</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2024, selling, general and administrative (SG&amp;A) expense decreased by $19.7 million and $52.0 million, respectively, compared to the prior year periods primarily due to cost savings initiatives, lower bad debt expense of $7.5 million and $8.9 million, respectively, and lower variable incentive compensation expense of $1.2 million and $4.8 million, respectively. These favorable impacts were partially offset by higher transaction, transformation and integration costs of $20.9 million and $29.2 million for the three and six months ended June 30, 2024, respectively, due to ongoing CommScope NEXT initiatives. We expect to continue to incur these costs during the remainder of 2024, and the resulting charges and cash requirements could be material.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Research and development (R&amp;D) expense decreased by $28.6 million and $57.9 million for the three and six months ended June 30, 2024, respectively, compared to the prior year periods primarily due to lower spending primarily within the CCS, NICS and ANS segments. R&amp;D activities generally involve ensuring that our products are capable of meeting the evolving technological needs of our customers, bringing new products to market and modifying existing products to better serve our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purchased intangible assets and Restructuring costs,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(15.4 )</w:t>
            </w: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(20.3 )%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 net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(35.7 )</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(97.5 )</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290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amortization of purchased intangible assets was lower compared to the prior year periods because certain of our intangible assets became fully amortized.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 net</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net restructuring costs recorded during the three and six months ended June 30, 2024 and 2023 were primarily related to CommScope NEXT. For the three and six months ended June 30, 2024, our restructuring costs were $0.9 million and $31.5 million, respectively, and we paid $7.0 million and $16.3 million, respectively, to settle restructuring liabilities. We expect to pay an additional $9.9 million during the remainder of 2024 related to restructuring actions that have been initiated. Additional restructuring actions related to CommScope NEXT are expected to be identified, and the resulting charges and cash requirements could be material.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228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7"/>
        </w:trPr>
        <w:tc>
          <w:tcPr>
            <w:tcW w:w="28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169"/>
        </w:trPr>
        <w:tc>
          <w:tcPr>
            <w:tcW w:w="28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4"/>
                <w:szCs w:val="14"/>
                <w:color w:val="auto"/>
              </w:rPr>
            </w:pPr>
          </w:p>
        </w:tc>
        <w:tc>
          <w:tcPr>
            <w:tcW w:w="6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8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tcBorders>
              <w:top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580" w:type="dxa"/>
            <w:vAlign w:val="bottom"/>
          </w:tcPr>
          <w:p>
            <w:pPr>
              <w:jc w:val="right"/>
              <w:ind w:right="40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2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NM   $</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(0.5 )  $</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(84.8 )%</w:t>
            </w:r>
          </w:p>
        </w:tc>
      </w:tr>
      <w:tr>
        <w:trPr>
          <w:trHeight w:val="238"/>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six months ended June 30, 2024 compared to the prior year periods was primarily driven by certain unhedged currencies.</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change in other income, net for the three and six months ended June 30, 2024 compared to the prior year periods was primarily driven by a gain of $2.9 million and $10.4 million, respectively, on the early extinguishment of debt related to our debt repurchases in the prior year periods. There were no debt repurchases during the three or six months ended June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Interest income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2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2380" w:type="dxa"/>
            <w:vAlign w:val="bottom"/>
          </w:tcPr>
          <w:p>
            <w:pPr>
              <w:spacing w:after="0"/>
              <w:rPr>
                <w:sz w:val="16"/>
                <w:szCs w:val="16"/>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380" w:type="dxa"/>
            <w:vAlign w:val="bottom"/>
          </w:tcPr>
          <w:p>
            <w:pPr>
              <w:spacing w:after="0"/>
              <w:rPr>
                <w:sz w:val="14"/>
                <w:szCs w:val="14"/>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23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(167.5 )  $</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(0.6 )%$</w:t>
            </w:r>
          </w:p>
        </w:tc>
        <w:tc>
          <w:tcPr>
            <w:tcW w:w="20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(335.2 )  $  (333.6 )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2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238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benefit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22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9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(56.1 )</w:t>
            </w:r>
          </w:p>
        </w:tc>
        <w:tc>
          <w:tcPr>
            <w:tcW w:w="16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(63.7 )</w:t>
            </w: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(838.2 )</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six months ended June 30, 2024 did not change significantly when compared to the prior year periods. For the three and six months ended June 30, 2024, interest expense was favorably impacted by lower long-term debt balances as a result of the debt repurchases in 2023, and unfavorably impacted by increased variable interest rate on our senior secured term loan due 2026 (2026 Term Loan) as a result of the Federal Reserve’s increases in interest rates. Our weighted average effective interest rate on outstanding borrowings, including the impact of the interest rate swap contracts and the amortization of debt issuance costs and original issue discount, was 7.22% at June 30, 2024, 7.22% at December 31, 2023 and 7.24% at June 30, 2023.</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interest expense and payments on our variable rate debt could increase if the Federal Reserve increases interest rates in the remainder of 2024. See Part II, Item 7A, “Quantitative and Qualitative Disclosure About Market Risk” in our 2023 Annual Report for further discussion of our interest rate risk.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we recognized an income tax benefit of $43.7 million on pretax income of $31.1 million and income tax expense of $56.1 million on a pretax loss of $131.2 million, respectively. Our income taxes for the three and six months ended June 30, 2024, were unfavorably impacted by $67.8 million of additional valuation allowance related to current year federal and state interest limitation carryforwards, U.S. anti-deferral provisions and excess tax costs of $7.3 million related to equity compensation awards, partially offset by tax benefits related to federal tax credits. For the three and six months ended June 30, 2024, we used a discrete calculation to compute the net tax benefit associated with external interest. Using the estimated annual tax rate for this component of income would have produced significant variability in the estimated annual effective tax rate, and use of the discrete method for this component results in the best estimate of the estimated annual effective tax rate.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2023, we recognized an income tax benefit of $3.6 million on a pretax loss of $66.7 million and an income tax benefit of $7.6 million on a pretax loss of $40.9 million, respectively. This tax benefit was unfavorably impacted by U.S. anti-deferral provisions and noncreditable withholding taxes for the three and six months ended June 30, 2023. Excess tax costs of $5.4 million and $6.9 million related to equity compensation awards also impacted the tax benefit unfavorably for the three and six months ended June 30, 2023, respectively. These unfavorable impacts were partially offset by the favorable impacts of federal income tax credits as well as $1.5 million and $9.8 million of tax benefits related to the release of various uncertain tax positions for the three and six months ended June 30, 2023, respectively.</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4"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92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1"/>
                <w:szCs w:val="11"/>
                <w:color w:val="auto"/>
              </w:rPr>
            </w:pPr>
          </w:p>
        </w:tc>
        <w:tc>
          <w:tcPr>
            <w:tcW w:w="900" w:type="dxa"/>
            <w:vAlign w:val="bottom"/>
          </w:tcPr>
          <w:p>
            <w:pPr>
              <w:jc w:val="right"/>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4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4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 (excluding DAS)</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(104.4 )</w:t>
            </w:r>
          </w:p>
        </w:tc>
        <w:tc>
          <w:tcPr>
            <w:tcW w:w="13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(142.6 )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shd w:val="clear" w:color="auto" w:fill="CCECFF"/>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48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(215.6 )</w:t>
            </w:r>
          </w:p>
        </w:tc>
        <w:tc>
          <w:tcPr>
            <w:tcW w:w="13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DAS</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1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(13.8 )</w:t>
            </w:r>
          </w:p>
        </w:tc>
        <w:tc>
          <w:tcPr>
            <w:tcW w:w="130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920" w:type="dxa"/>
            <w:vAlign w:val="bottom"/>
            <w:shd w:val="clear" w:color="auto" w:fill="CCECFF"/>
          </w:tcPr>
          <w:p>
            <w:pPr>
              <w:spacing w:after="0" w:line="20" w:lineRule="exact"/>
              <w:rPr>
                <w:sz w:val="1"/>
                <w:szCs w:val="1"/>
                <w:color w:val="auto"/>
              </w:rPr>
            </w:pPr>
          </w:p>
        </w:tc>
        <w:tc>
          <w:tcPr>
            <w:tcW w:w="4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4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(201.9 )</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(12.7 )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4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-341630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-341630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-341630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Operating income (loss) by segment:</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CCS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NICS (excluding DAS)</w:t>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ANS</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p>
      <w:pPr>
        <w:ind w:left="200"/>
        <w:spacing w:after="0"/>
        <w:rPr>
          <w:sz w:val="20"/>
          <w:szCs w:val="20"/>
          <w:color w:val="auto"/>
        </w:rPr>
      </w:pPr>
      <w:r>
        <w:rPr>
          <w:rFonts w:ascii="Times New Roman" w:cs="Times New Roman" w:eastAsia="Times New Roman" w:hAnsi="Times New Roman"/>
          <w:sz w:val="18"/>
          <w:szCs w:val="18"/>
          <w:color w:val="auto"/>
        </w:rPr>
        <w:t>OWN</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DAS</w:t>
      </w:r>
    </w:p>
    <w:p>
      <w:pPr>
        <w:spacing w:after="0" w:line="29" w:lineRule="exact"/>
        <w:rPr>
          <w:sz w:val="20"/>
          <w:szCs w:val="20"/>
          <w:color w:val="auto"/>
        </w:rPr>
      </w:pPr>
    </w:p>
    <w:p>
      <w:pPr>
        <w:ind w:left="20" w:right="1180" w:firstLine="180"/>
        <w:spacing w:after="0" w:line="335" w:lineRule="auto"/>
        <w:rPr>
          <w:sz w:val="20"/>
          <w:szCs w:val="20"/>
          <w:color w:val="auto"/>
        </w:rPr>
      </w:pPr>
      <w:r>
        <w:rPr>
          <w:rFonts w:ascii="Times New Roman" w:cs="Times New Roman" w:eastAsia="Times New Roman" w:hAnsi="Times New Roman"/>
          <w:sz w:val="17"/>
          <w:szCs w:val="17"/>
          <w:color w:val="auto"/>
        </w:rPr>
        <w:t xml:space="preserve">Corporate and other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7"/>
          <w:szCs w:val="17"/>
          <w:color w:val="auto"/>
        </w:rPr>
        <w:t xml:space="preserve"> Consolidated operating income</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CCS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NICS (excluding DAS)</w:t>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ANS</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Core adjusted EBITDA </w:t>
      </w:r>
      <w:r>
        <w:rPr>
          <w:rFonts w:ascii="Times New Roman" w:cs="Times New Roman" w:eastAsia="Times New Roman" w:hAnsi="Times New Roman"/>
          <w:sz w:val="24"/>
          <w:szCs w:val="24"/>
          <w:color w:val="auto"/>
          <w:vertAlign w:val="superscript"/>
        </w:rPr>
        <w:t>(1)</w:t>
      </w:r>
    </w:p>
    <w:p>
      <w:pPr>
        <w:ind w:left="200"/>
        <w:spacing w:after="0"/>
        <w:rPr>
          <w:sz w:val="20"/>
          <w:szCs w:val="20"/>
          <w:color w:val="auto"/>
        </w:rPr>
      </w:pPr>
      <w:r>
        <w:rPr>
          <w:rFonts w:ascii="Times New Roman" w:cs="Times New Roman" w:eastAsia="Times New Roman" w:hAnsi="Times New Roman"/>
          <w:sz w:val="18"/>
          <w:szCs w:val="18"/>
          <w:color w:val="auto"/>
        </w:rPr>
        <w:t>OWN</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p>
      <w:pPr>
        <w:spacing w:after="0" w:line="7" w:lineRule="exact"/>
        <w:rPr>
          <w:sz w:val="20"/>
          <w:szCs w:val="20"/>
          <w:color w:val="auto"/>
        </w:rPr>
      </w:pPr>
    </w:p>
    <w:p>
      <w:pPr>
        <w:ind w:left="240" w:right="960" w:hanging="224"/>
        <w:spacing w:after="0" w:line="247" w:lineRule="auto"/>
        <w:rPr>
          <w:sz w:val="20"/>
          <w:szCs w:val="20"/>
          <w:color w:val="auto"/>
        </w:rPr>
      </w:pPr>
      <w:r>
        <w:rPr>
          <w:rFonts w:ascii="Times New Roman" w:cs="Times New Roman" w:eastAsia="Times New Roman" w:hAnsi="Times New Roman"/>
          <w:sz w:val="18"/>
          <w:szCs w:val="18"/>
          <w:color w:val="auto"/>
        </w:rPr>
        <w:t xml:space="preserve">Non-GAAP consolidated adjusted EBITDA </w:t>
      </w:r>
      <w:r>
        <w:rPr>
          <w:rFonts w:ascii="Times New Roman" w:cs="Times New Roman" w:eastAsia="Times New Roman" w:hAnsi="Times New Roman"/>
          <w:sz w:val="24"/>
          <w:szCs w:val="24"/>
          <w:color w:val="auto"/>
          <w:vertAlign w:val="superscript"/>
        </w:rPr>
        <w:t>(3)</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(24.8 )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(58.5 )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(173.6 )</w:t>
            </w:r>
          </w:p>
        </w:tc>
        <w:tc>
          <w:tcPr>
            <w:tcW w:w="180" w:type="dxa"/>
            <w:vAlign w:val="bottom"/>
          </w:tcPr>
          <w:p>
            <w:pPr>
              <w:spacing w:after="0"/>
              <w:rPr>
                <w:sz w:val="21"/>
                <w:szCs w:val="21"/>
                <w:color w:val="auto"/>
              </w:rPr>
            </w:pPr>
          </w:p>
        </w:tc>
      </w:tr>
      <w:tr>
        <w:trPr>
          <w:trHeight w:val="256"/>
        </w:trPr>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(3.2 )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80" w:type="dxa"/>
            <w:vAlign w:val="bottom"/>
          </w:tcPr>
          <w:p>
            <w:pPr>
              <w:spacing w:after="0"/>
              <w:rPr>
                <w:sz w:val="22"/>
                <w:szCs w:val="22"/>
                <w:color w:val="auto"/>
              </w:rPr>
            </w:pPr>
          </w:p>
        </w:tc>
      </w:tr>
      <w:tr>
        <w:trPr>
          <w:trHeight w:val="228"/>
        </w:trPr>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9"/>
                <w:szCs w:val="19"/>
                <w:color w:val="auto"/>
              </w:rPr>
            </w:pPr>
          </w:p>
        </w:tc>
      </w:tr>
      <w:tr>
        <w:trPr>
          <w:trHeight w:val="238"/>
        </w:trPr>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tcPr>
          <w:p>
            <w:pPr>
              <w:spacing w:after="0"/>
              <w:rPr>
                <w:sz w:val="20"/>
                <w:szCs w:val="20"/>
                <w:color w:val="auto"/>
              </w:rPr>
            </w:pPr>
          </w:p>
        </w:tc>
      </w:tr>
      <w:tr>
        <w:trPr>
          <w:trHeight w:val="243"/>
        </w:trPr>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Pr>
          <w:p>
            <w:pPr>
              <w:spacing w:after="0"/>
              <w:rPr>
                <w:sz w:val="21"/>
                <w:szCs w:val="21"/>
                <w:color w:val="auto"/>
              </w:rPr>
            </w:pPr>
          </w:p>
        </w:tc>
      </w:tr>
      <w:tr>
        <w:trPr>
          <w:trHeight w:val="256"/>
        </w:trPr>
        <w:tc>
          <w:tcPr>
            <w:tcW w:w="2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22"/>
                <w:szCs w:val="22"/>
                <w:color w:val="auto"/>
              </w:rPr>
            </w:pPr>
          </w:p>
        </w:tc>
      </w:tr>
      <w:tr>
        <w:trPr>
          <w:trHeight w:val="236"/>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95"/>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40" w:type="dxa"/>
            <w:vAlign w:val="bottom"/>
          </w:tcPr>
          <w:p>
            <w:pPr>
              <w:spacing w:after="0"/>
              <w:rPr>
                <w:sz w:val="21"/>
                <w:szCs w:val="21"/>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(59.3 )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(106.3 )</w:t>
            </w:r>
          </w:p>
        </w:tc>
        <w:tc>
          <w:tcPr>
            <w:tcW w:w="180" w:type="dxa"/>
            <w:vAlign w:val="bottom"/>
          </w:tcPr>
          <w:p>
            <w:pPr>
              <w:spacing w:after="0"/>
              <w:rPr>
                <w:sz w:val="21"/>
                <w:szCs w:val="21"/>
                <w:color w:val="auto"/>
              </w:rPr>
            </w:pPr>
          </w:p>
        </w:tc>
      </w:tr>
      <w:tr>
        <w:trPr>
          <w:trHeight w:val="256"/>
        </w:trPr>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2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(29.8 )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80" w:type="dxa"/>
            <w:vAlign w:val="bottom"/>
          </w:tcPr>
          <w:p>
            <w:pPr>
              <w:spacing w:after="0"/>
              <w:rPr>
                <w:sz w:val="22"/>
                <w:szCs w:val="22"/>
                <w:color w:val="auto"/>
              </w:rPr>
            </w:pPr>
          </w:p>
        </w:tc>
      </w:tr>
      <w:tr>
        <w:trPr>
          <w:trHeight w:val="228"/>
        </w:trPr>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tcPr>
          <w:p>
            <w:pPr>
              <w:spacing w:after="0"/>
              <w:rPr>
                <w:sz w:val="19"/>
                <w:szCs w:val="19"/>
                <w:color w:val="auto"/>
              </w:rPr>
            </w:pPr>
          </w:p>
        </w:tc>
      </w:tr>
      <w:tr>
        <w:trPr>
          <w:trHeight w:val="238"/>
        </w:trPr>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20"/>
                <w:szCs w:val="20"/>
                <w:color w:val="auto"/>
              </w:rPr>
            </w:pPr>
          </w:p>
        </w:tc>
      </w:tr>
      <w:tr>
        <w:trPr>
          <w:trHeight w:val="243"/>
        </w:trPr>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21"/>
                <w:szCs w:val="21"/>
                <w:color w:val="auto"/>
              </w:rPr>
            </w:pPr>
          </w:p>
        </w:tc>
      </w:tr>
      <w:tr>
        <w:trPr>
          <w:trHeight w:val="256"/>
        </w:trPr>
        <w:tc>
          <w:tcPr>
            <w:tcW w:w="24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22"/>
                <w:szCs w:val="22"/>
                <w:color w:val="auto"/>
              </w:rPr>
            </w:pPr>
          </w:p>
        </w:tc>
      </w:tr>
      <w:tr>
        <w:trPr>
          <w:trHeight w:val="411"/>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42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-2970530</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-2345690</wp:posOffset>
            </wp:positionV>
            <wp:extent cx="713232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-1694815</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-1386205</wp:posOffset>
            </wp:positionV>
            <wp:extent cx="713232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-761365</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-2662555</wp:posOffset>
            </wp:positionV>
            <wp:extent cx="7132320"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-2037080</wp:posOffset>
            </wp:positionV>
            <wp:extent cx="7132320" cy="162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-1078230</wp:posOffset>
            </wp:positionV>
            <wp:extent cx="7132320"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-453390</wp:posOffset>
            </wp:positionV>
            <wp:extent cx="7132320"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3440" w:space="720"/>
            <w:col w:w="7080"/>
          </w:cols>
          <w:pgMar w:left="320" w:top="119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7"/>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 of Net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tcBorders>
              <w:top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sales by segment:</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(185.0 )</w:t>
            </w: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(12.2 ) %</w:t>
            </w: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NICS (excluding DAS)</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(193.5 )</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(44.5 )</w:t>
            </w: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(255.6 )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(40.2 )</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shd w:val="clear" w:color="auto" w:fill="CCECFF"/>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net sales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1,954.6</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(634.1 )</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(24.5 )</w:t>
            </w:r>
          </w:p>
        </w:tc>
        <w:tc>
          <w:tcPr>
            <w:tcW w:w="3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DAS</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(28.9 )</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(697.9 )</w:t>
            </w: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(21.5 )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 by segment: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 (excluding DAS)</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(61.8 )</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(25.6 )</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(113.7 )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(219.1 )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shd w:val="clear" w:color="auto" w:fill="CCECFF"/>
          </w:tcPr>
          <w:p>
            <w:pPr>
              <w:spacing w:after="0"/>
              <w:rPr>
                <w:sz w:val="21"/>
                <w:szCs w:val="2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(43.2 )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300"/>
              <w:spacing w:after="0" w:line="236" w:lineRule="exact"/>
              <w:rPr>
                <w:sz w:val="20"/>
                <w:szCs w:val="20"/>
                <w:color w:val="auto"/>
              </w:rPr>
            </w:pPr>
            <w:r>
              <w:rPr>
                <w:rFonts w:ascii="Times New Roman" w:cs="Times New Roman" w:eastAsia="Times New Roman" w:hAnsi="Times New Roman"/>
                <w:sz w:val="18"/>
                <w:szCs w:val="18"/>
                <w:color w:val="auto"/>
              </w:rPr>
              <w:t xml:space="preserve">Core operating income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(128.6 )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CFF"/>
          </w:tcPr>
          <w:p>
            <w:pPr>
              <w:spacing w:after="0"/>
              <w:rPr>
                <w:sz w:val="21"/>
                <w:szCs w:val="21"/>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(85.6 )</w:t>
            </w: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(30.4 )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8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6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6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CCS</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NICS (excluding DAS)</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(20.9 )</w:t>
            </w:r>
          </w:p>
        </w:tc>
        <w:tc>
          <w:tcPr>
            <w:tcW w:w="1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(114.8 )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(122.3 )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ANS</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(61.8 )</w:t>
            </w: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(56.3 )</w:t>
            </w: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Core adjusted EBITDA (1)</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(144.1 )</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(32.9 )</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OWN</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CFF"/>
          </w:tcPr>
          <w:p>
            <w:pPr>
              <w:spacing w:after="0"/>
              <w:rPr>
                <w:sz w:val="21"/>
                <w:szCs w:val="21"/>
                <w:color w:val="auto"/>
              </w:rPr>
            </w:pP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CFF"/>
          </w:tcPr>
          <w:p>
            <w:pPr>
              <w:spacing w:after="0"/>
              <w:rPr>
                <w:sz w:val="21"/>
                <w:szCs w:val="21"/>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CECFF"/>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CFF"/>
          </w:tcPr>
          <w:p>
            <w:pPr>
              <w:spacing w:after="0"/>
              <w:rPr>
                <w:sz w:val="21"/>
                <w:szCs w:val="21"/>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68"/>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CECFF"/>
          </w:tcPr>
          <w:p>
            <w:pPr>
              <w:spacing w:after="0"/>
              <w:rPr>
                <w:sz w:val="21"/>
                <w:szCs w:val="21"/>
                <w:color w:val="auto"/>
              </w:rPr>
            </w:pPr>
          </w:p>
        </w:tc>
        <w:tc>
          <w:tcPr>
            <w:tcW w:w="100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9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Non-GAAP consolidated adjusted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(111.3 )</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160"/>
              <w:spacing w:after="0" w:line="227"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4"/>
                <w:szCs w:val="24"/>
                <w:color w:val="auto"/>
                <w:vertAlign w:val="superscript"/>
              </w:rPr>
              <w:t>(3)</w:t>
            </w:r>
          </w:p>
        </w:tc>
        <w:tc>
          <w:tcPr>
            <w:tcW w:w="1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(19.7 )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-3467100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-3467100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-3467100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-2508250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-2508250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-2508250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-1883410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-1883410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-1883410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-923925</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-923925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-923925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-299085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-299085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-299085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30" w:lineRule="exact"/>
        <w:rPr>
          <w:sz w:val="20"/>
          <w:szCs w:val="20"/>
          <w:color w:val="auto"/>
        </w:rPr>
      </w:pPr>
    </w:p>
    <w:p>
      <w:pPr>
        <w:ind w:left="540" w:right="520" w:hanging="532"/>
        <w:spacing w:after="0" w:line="28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financial measures reflect the results of the CCS, NICS (excluding DAS), and ANS segments, in the aggregate. Core financial measures exclude the results and performance of the OWN segment and DAS business unit in NICS.</w:t>
      </w:r>
    </w:p>
    <w:p>
      <w:pPr>
        <w:spacing w:after="0" w:line="54" w:lineRule="exact"/>
        <w:rPr>
          <w:rFonts w:ascii="Times New Roman" w:cs="Times New Roman" w:eastAsia="Times New Roman" w:hAnsi="Times New Roman"/>
          <w:sz w:val="18"/>
          <w:szCs w:val="18"/>
          <w:color w:val="auto"/>
        </w:rPr>
      </w:pPr>
    </w:p>
    <w:p>
      <w:pPr>
        <w:ind w:left="540" w:right="20" w:hanging="532"/>
        <w:spacing w:after="0" w:line="26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periods include general corporate costs that were previously allocated to the Home segment. These indirect costs have been classified as continuing operations for the prior year periods, since they were not directly attributable to the discontinued operations of the Home segment. Beginning in the first quarter of 2024, these costs have been reallocated to our remaining segments and partially offset by income from our transition service agreement with Vantiva.</w:t>
      </w:r>
    </w:p>
    <w:p>
      <w:pPr>
        <w:spacing w:after="0" w:line="7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“Reconciliation of Non-GAAP Measures” within this Management’s Discussion and Analysis of Financial Condition and Results of Operations.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sales for the CCS segment increased for the three months ended compared to the prior year period primarily due to higher sales volumes in the Enterprise business. CCS segment net sales decreased for the six months ended June 30, 2024 compared to the prior year period primarily due to lower sales volumes as certain customers paused spending in the first quarter as they right-sized their inventory levels. From a regional perspective, for the three months ended June 30, 2024, net sales increased in the U.S. by $29.6 million, the APAC region by $14.1 million and Canada by $4.4 million, but decreased in the CALA region by $15.4 million and the EMEA region by $1.3 million, compared to the prior year period. For the six months ended June 30, 2024, net sales decreased in the U.S. by $145.1 million, the CALA region by $29.3 million, the EMEA region by $15.5 million and Canada by $3.3 million, but increased in the APAC region by $8.2 million compared to the prior year period. Foreign exchange rate changes did not have a material impact on our CCS net sales during the three or six months ended June 30, 2024.</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2024, CCS segment operating income and adjusted EBITDA increased compared to the prior year period primarily due to higher sales volumes and favorable product mix. For the six months ended June 30, 2024, CCS segment operating income and adjusted EBITDA increased compared to the prior year period primarily due to favorable product mix and lower SG&amp;A, input and R&amp;D costs, partially offset by lower sales volumes. The reductions in SG&amp;A costs impacting both operating income and adjusted EBITDA were primarily due to cost savings initiatives. For the three months ended June 30, 2024, CCS segment operating income was also favorably impacted by a reduction in restructuring costs of $12.8 million, partially offset by an increase in transaction, transition and integration costs of $7.2 million. For the six months ended June 30, 2024, CCS segment operating income was unfavorably impacted by an increase in transaction, transition and integration costs of $7.4 million. Restructuring costs and transaction, transition and integration costs are not reflected in adjusted EBITDA. See “Reconciliation of Segment Adjusted EBITDA”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Wireless Networks Segment</w:t>
      </w:r>
    </w:p>
    <w:p>
      <w:pPr>
        <w:spacing w:after="0" w:line="12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2024, OWN segment net sales increased compared to the prior year period primarily due to higher sales volumes. For the six months ended June 30, 2024, OWN segment net sales decreased compared to the prior year period primarily due to lower sales volumes as a result of reductions in spending in the first quarter by certain North American operators. From a regional perspective, for the three months ended June 30, 2024, OWN segment net sales increased in the U.S. by $22.3 million, the CALA region by $1.9 million, the EMEA region by $1.6 million, the APAC region by $1.1 million and Canada by $0.6 million compared to the prior year period. For the six months ended June 30, 2024, OWN segment net sales decreased in the U.S. by $40.9 million and Canada by $0.2 million, but increased in the APAC region by $3.2 million, the CALA region by $2.1 million and the EMEA region by $0.9 million, compared to the prior year period. Foreign exchange rate changes did not have a material impact on our OWN net sales during the three and six months ended June 30, 2024.</w:t>
      </w:r>
    </w:p>
    <w:p>
      <w:pPr>
        <w:spacing w:after="0" w:line="18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OWN segment operating income and adjusted EBITDA increased compared to the prior year period primarily due to higher sales volumes, favorable product mix and lower input costs. For the six months ended June 30, 2024, OWN segment operating income and adjusted EBITDA increased compared to the prior year period primarily due to lower SG&amp;A costs, favorable product mix and lower input costs, partially offset by lower sales volumes. The reductions in SG&amp;A costs impacting both operating income and adjusted EBITDA were primarily due to cost savings initiatives. See “Reconciliation of Segment Adjusted EBITDA”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NICS segment net sales decreased compared to the prior year periods primarily due to lower sales volumes of our Ruckus products driven from lower demand and channel inventory digestion. From a regional perspective, for the three months ended June 30, 2024, NICS segment net sales decreased in the U.S. by $50.4 million, the EMEA region by $44.4 million, the APAC region by $19.9 million, the CALA region by $3.2 million and Canada by $0.3 million compared to the prior year period. For the six months ended June 30, 2024, NICS segment net sales decreased in the U.S. by $117.9 million, the EMEA region by $69.4 million, the APAC region by $28.6 million, the CALA region by $5.5 million and Canada by $1.0 million compared to the prior year period. Foreign exchange rate changes did not have a material impact on our NICS net sales during the three or six months ended June 30, 2024.</w:t>
      </w:r>
    </w:p>
    <w:p>
      <w:pPr>
        <w:spacing w:after="0" w:line="18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For the three and six months ended June 30, 2024, NICS segment operating loss increased and adjusted EBITDA decreased compared to the prior year periods primarily due to lower sales volumes, lower pricing and higher inventory reserves, partially offset by lower SG&amp;A and R&amp;D costs and favorable product mix. The reductions in SG&amp;A costs impacting both operating loss and adjusted EBITDA were primarily due to cost savings initiatives. See “Reconciliation of Segment Adjusted EBITDA” below.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net sales decreased in the ANS segment due to lower sales volumes compared to the prior year periods primarily due to lower sales volumes as certain customers have paused spending as they right-size their inventory levels. From a regional perspective, for the three months ended June 30, 2024, ANS segment net sales decreased in the U.S. by $109.2 million, the CALA region by $23.8 million, the EMEA region by $14.9 million and the APAC region by $0.2 million, but increased in Canada by $5.5 million, compared to the prior year period. For the six months ended June 30, 2024, ANS segment net sales decreased in the U.S. by $194.3 million, the EMEA region by $36.1 million and the CALA region by $29.5 million, but increased in the APAC region by $3.3 million and Canada by $1.0 million, compared to the prior year period. Foreign exchange rate changes did not have a material impact on our ANS net sales during the three or six months ended June 30, 2024.</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2024, ANS segment operating income (loss) and adjusted EBITDA were impacted unfavorably by lower sales volumes but benefited from lower SG&amp;A and R&amp;D costs, favorable product mix, lower freight and lower input costs compared to the prior year periods. The reductions in SG&amp;A costs impacting both operating income (loss) and adjusted EBITDA were primarily due to cost savings initiatives. For the three months ended June 30, 2024, ANS segment operating income (loss) was also favorably impacted by reductions in amortization expense of $13.1 million and restructuring costs of $10.4 million. For the six months ended June 30, 2024, operating income (loss) was favorably impacted by a reduction in amortization expense of $37.0 million, partially offset by increases in restructuring costs of $17.2 million and transaction, transformation and integration costs of $6.9 million. Restructuring costs, transaction, transformation and integration costs and amortization expense are not reflected in adjusted EBITDA. See “Reconciliation of Segment Adjusted EBITDA”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key measures of our liquidity and capital resources (in millions, except percentage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380" w:type="dxa"/>
            <w:vAlign w:val="bottom"/>
            <w:gridSpan w:val="2"/>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71"/>
              </w:rPr>
              <w:t>millions)</w:t>
            </w: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(197.9 )</w:t>
            </w:r>
          </w:p>
        </w:tc>
        <w:tc>
          <w:tcPr>
            <w:tcW w:w="13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(36.4 ) %</w:t>
            </w:r>
          </w:p>
        </w:tc>
        <w:tc>
          <w:tcPr>
            <w:tcW w:w="0" w:type="dxa"/>
            <w:vAlign w:val="bottom"/>
          </w:tcPr>
          <w:p>
            <w:pPr>
              <w:spacing w:after="0"/>
              <w:rPr>
                <w:sz w:val="1"/>
                <w:szCs w:val="1"/>
                <w:color w:val="auto"/>
              </w:rPr>
            </w:pPr>
          </w:p>
        </w:tc>
      </w:tr>
      <w:tr>
        <w:trPr>
          <w:trHeight w:val="191"/>
        </w:trPr>
        <w:tc>
          <w:tcPr>
            <w:tcW w:w="57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Working capital, net of assets and liabilities held for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160"/>
              <w:spacing w:after="0" w:line="236" w:lineRule="exact"/>
              <w:rPr>
                <w:sz w:val="20"/>
                <w:szCs w:val="20"/>
                <w:color w:val="auto"/>
              </w:rPr>
            </w:pPr>
            <w:r>
              <w:rPr>
                <w:rFonts w:ascii="Times New Roman" w:cs="Times New Roman" w:eastAsia="Times New Roman" w:hAnsi="Times New Roman"/>
                <w:sz w:val="18"/>
                <w:szCs w:val="18"/>
                <w:color w:val="auto"/>
              </w:rPr>
              <w:t xml:space="preserve">sale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and excluding cash and cash equivalents and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Availability under Revolving Credit Facility</w:t>
            </w:r>
          </w:p>
        </w:tc>
        <w:tc>
          <w:tcPr>
            <w:tcW w:w="2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(152.6 )</w:t>
            </w:r>
          </w:p>
        </w:tc>
        <w:tc>
          <w:tcPr>
            <w:tcW w:w="13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(3.8 )</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760" w:type="dxa"/>
            <w:vAlign w:val="bottom"/>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Total capitalization </w:t>
            </w:r>
            <w:r>
              <w:rPr>
                <w:rFonts w:ascii="Times New Roman" w:cs="Times New Roman" w:eastAsia="Times New Roman" w:hAnsi="Times New Roman"/>
                <w:sz w:val="24"/>
                <w:szCs w:val="24"/>
                <w:color w:val="auto"/>
                <w:vertAlign w:val="superscript"/>
              </w:rPr>
              <w:t>(2)</w:t>
            </w:r>
          </w:p>
        </w:tc>
        <w:tc>
          <w:tcPr>
            <w:tcW w:w="2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7,150.3</w:t>
            </w:r>
          </w:p>
        </w:tc>
        <w:tc>
          <w:tcPr>
            <w:tcW w:w="24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7,471.9</w:t>
            </w:r>
          </w:p>
        </w:tc>
        <w:tc>
          <w:tcPr>
            <w:tcW w:w="2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(321.6 )</w:t>
            </w:r>
          </w:p>
        </w:tc>
        <w:tc>
          <w:tcPr>
            <w:tcW w:w="13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as a percentage of total capitalization</w:t>
            </w: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129.7 %</w:t>
            </w:r>
          </w:p>
        </w:tc>
        <w:tc>
          <w:tcPr>
            <w:tcW w:w="160" w:type="dxa"/>
            <w:vAlign w:val="bottom"/>
          </w:tcPr>
          <w:p>
            <w:pPr>
              <w:spacing w:after="0"/>
              <w:rPr>
                <w:sz w:val="20"/>
                <w:szCs w:val="20"/>
                <w:color w:val="auto"/>
              </w:rPr>
            </w:pPr>
          </w:p>
        </w:tc>
        <w:tc>
          <w:tcPr>
            <w:tcW w:w="138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color w:val="auto"/>
              </w:rPr>
              <w:t>124.2 %</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520" w:hanging="467"/>
        <w:spacing w:after="0" w:line="276" w:lineRule="auto"/>
        <w:tabs>
          <w:tab w:leader="none" w:pos="5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is net of assets and liabilities held for sale and consists of current assets of $2,564.8 million less current liabilities of $2,473.1 million as of June 30, 2024 and current assets of $2,584.1 million less current liabilities of $1,102.2 million as of December 31, 2023.</w:t>
      </w:r>
    </w:p>
    <w:p>
      <w:pPr>
        <w:ind w:left="520" w:hanging="467"/>
        <w:spacing w:after="0" w:line="26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includes long-term debt, including the current portion, Series A convertible preferred stock (the Convertible Preferred Stock) and stockholders’ deficit.</w:t>
      </w:r>
    </w:p>
    <w:p>
      <w:pPr>
        <w:spacing w:after="0" w:line="18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primary uses of liquidity include debt service requirements, voluntary debt repayments, redemptions or purchases on the open market, working capital requirements, capital expenditures, business separation transaction costs, transformation costs, restructuring costs, dividends related to the Convertible Preferred Stock if we elect to pay such dividends in cash, litigation settlements, income tax payments and other contractual obligations. As of June 30, 2024, we have $1.27 billion outstanding on our 6.00% senior unsecured notes which mature on June 15, 2025 (the 2025 Notes), which is within one year of the date that the condensed consolidated financial statements are issued for the quarter ended June 30, 2024. We do not currently have sufficient cash or liquidity to repay the 2025 Notes when they mature on June 15,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38" w:name="page39"/>
    <w:bookmarkEnd w:id="38"/>
    <w:p>
      <w:pPr>
        <w:ind w:right="180"/>
        <w:spacing w:after="0" w:line="265" w:lineRule="auto"/>
        <w:rPr>
          <w:sz w:val="20"/>
          <w:szCs w:val="20"/>
          <w:color w:val="auto"/>
        </w:rPr>
      </w:pPr>
      <w:r>
        <w:rPr>
          <w:rFonts w:ascii="Times New Roman" w:cs="Times New Roman" w:eastAsia="Times New Roman" w:hAnsi="Times New Roman"/>
          <w:sz w:val="18"/>
          <w:szCs w:val="18"/>
          <w:color w:val="auto"/>
        </w:rPr>
        <w:t>Proceeds of approximately $2.1 billion from the pending sale of our OWN segment and DAS business unit, may be used under certain circumstances to retire the 2025 Notes due to flexibility under our credit agreements. We believe this is probable of occurring and will alleviate substantial doubt about our ability to operate as a going concern.</w:t>
      </w:r>
    </w:p>
    <w:p>
      <w:pPr>
        <w:spacing w:after="0" w:line="17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Concurrently, we are negotiating with our noteholders and lenders to explore both restructuring and/or refinancing of the 2025 Notes. No commitments have been obtained regarding this alternative as of the filing date, thus it has not reached a level of being considered probable at this time, although it remains part of our plans to mitigate conditions that give rise to substantial doubt about our ability to operate as a going concern.</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Management has assessed our plan to mitigate the conditions that give rise to substantial doubt and, considering the pending sale of our OWN segment and DAS business unit, management believes such plan is probable and will alleviate substantial doubt about our ability to operate as a going concern.</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be required to obtain additional financing in the future to address our liquidity needs, and, subject to market conditions, we may from time to time seek to amend, refinance, restructure, exchange or repurchase our outstanding indebtedness and/or raise additional equity or other financing. Any debt we incur in the future may have terms (including cash interest rate, financial covenants and covenants limiting our operating flexibility or ability to obtain additional financings) that are not favorable to us, and any such additional equity financing may dilute the economic and/or voting interests of our existing stockholders, may be preferred in right of payment to our outstanding common stock or confer other privileges to the holders and may contain financial or operational covenants that restrict our operating flexibility or ability to obtain additional financings. Furthermore, our failure to obtain any necessary financing, amendment, refinancing, restructuring, exchange or repurchases could have a material and adverse effect on our results of operations, cash flows, financial condition and liquidity.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experience volatility in cash flows between periods due to, among other reasons, variability in the timing of vendor payments and customer receipts. We may, from time to time, seek to obtain alternative sources of financing, by borrowing additional amounts under our senior secured asset-based revolving credit facility (Revolving Credit Facility), issuing debt or equity securities or incurring other indebtedness, if market conditions are favorable, utilizing trade credit, selling assets (including businesses or business lines) or securitizing receivables to meet future cash needs or to reduce our borrowing costs. Any issuance of equity or debt may be for cash or in exchange for our outstanding securities or indebtedness, or a combination thereof.</w:t>
      </w:r>
    </w:p>
    <w:p>
      <w:pPr>
        <w:spacing w:after="0" w:line="1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outstanding debt securities and debt under our credit facilities are currently trading at substantial discounts to their respective principal amounts. In order to reduce future cash interest payments, as well as future amounts due at maturity or upon redemption, we may, from time to time, purchase such debt for cash, in exchange for common or preferred stock or debt, or for a combination thereof, in each case in open-market purchases and/or privately negotiated transactions, tender offers or exchange offers and upon such terms and at such prices as we may determine. Any such transactions will be dependent upon several factors, including our liquidity requirements, contractual restrictions, general market conditions and applicable regulatory, legal and accounting factors. Whether or not we engage in any such transactions will be determined at our discretion. The amounts involved in any such transactions, individually or in the aggregate, may be material.</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June 30, 2024, our non-GAAP pro forma adjusted EBITDA, as measured pursuant to the indentures governing our notes, was $926.1 million, which included annualized savings expected from cost reduction initiatives of $38.4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as of June 30, 2024.</w:t>
      </w:r>
    </w:p>
    <w:p>
      <w:pPr>
        <w:spacing w:after="0" w:line="186"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Cash and cash equivalents decreased during the six months ended June 30, 2024 primarily driven by cash used in operating activities of $126.9 million and cash paid of $45.1 million related to the Casa Transaction. As of June 30, 2024, approximately 66% of our cash and cash equivalents were held outside the 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ind w:right="100"/>
        <w:spacing w:after="0" w:line="254" w:lineRule="auto"/>
        <w:rPr>
          <w:sz w:val="20"/>
          <w:szCs w:val="20"/>
          <w:color w:val="auto"/>
        </w:rPr>
      </w:pPr>
      <w:r>
        <w:rPr>
          <w:rFonts w:ascii="Times New Roman" w:cs="Times New Roman" w:eastAsia="Times New Roman" w:hAnsi="Times New Roman"/>
          <w:sz w:val="18"/>
          <w:szCs w:val="18"/>
          <w:color w:val="auto"/>
        </w:rPr>
        <w:t>Working capital, net of assets and liabilities held for sale and excluding cash and cash equivalents and the current portion of long-term debt, increased during the six months ended June 30, 2024 compared to the fourth quarter of 2023 primarily due to higher accounts receivable balances due to increased net sales in the second quarter of 2024 compared to the fourth quarter of 2023 and lower accrued liabilities due to the pay-out of our 2023 variable incentive compensation. These increases were partially offset by increases in accounts payable and other liabilities. During the six months ended June 30, 2024, we sold accounts receivable under customer-sponsored supplier financing agreements. This had an impact of approximately $53 million on working capital, excluding cash and cash equivalents and the current portion of long-term debt, as of June 30, 2024. Under these agreements, we are able to sell certain accounts receivable to a bank, and we retain no interest in and have no servicing responsibilities for the accounts receivable sold. The net reduction in total capitalization during the six months ended June 30, 2024 reflected the net loss for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Overview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gridSpan w:val="2"/>
          </w:tcPr>
          <w:p>
            <w:pPr>
              <w:spacing w:after="0"/>
              <w:rPr>
                <w:sz w:val="14"/>
                <w:szCs w:val="14"/>
                <w:color w:val="auto"/>
              </w:rPr>
            </w:pPr>
          </w:p>
        </w:tc>
      </w:tr>
      <w:tr>
        <w:trPr>
          <w:trHeight w:val="169"/>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580" w:type="dxa"/>
            <w:vAlign w:val="bottom"/>
            <w:gridSpan w:val="4"/>
          </w:tcPr>
          <w:p>
            <w:pPr>
              <w:jc w:val="center"/>
              <w:ind w:right="7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(126.9 )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(217.6 )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(239.9 )%</w:t>
            </w:r>
          </w:p>
        </w:tc>
      </w:tr>
      <w:tr>
        <w:trPr>
          <w:trHeight w:val="24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30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(47.6 )</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(74.5 )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(277.0 )</w:t>
            </w:r>
          </w:p>
        </w:tc>
        <w:tc>
          <w:tcPr>
            <w:tcW w:w="100" w:type="dxa"/>
            <w:vAlign w:val="bottom"/>
          </w:tcPr>
          <w:p>
            <w:pPr>
              <w:spacing w:after="0"/>
              <w:rPr>
                <w:sz w:val="21"/>
                <w:szCs w:val="21"/>
                <w:color w:val="auto"/>
              </w:rPr>
            </w:pPr>
          </w:p>
        </w:tc>
      </w:tr>
      <w:tr>
        <w:trPr>
          <w:trHeight w:val="249"/>
        </w:trPr>
        <w:tc>
          <w:tcPr>
            <w:tcW w:w="5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CFF"/>
          </w:tcPr>
          <w:p>
            <w:pPr>
              <w:spacing w:after="0"/>
              <w:rPr>
                <w:sz w:val="21"/>
                <w:szCs w:val="21"/>
                <w:color w:val="auto"/>
              </w:rPr>
            </w:pPr>
          </w:p>
        </w:tc>
        <w:tc>
          <w:tcPr>
            <w:tcW w:w="13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(17.8 )</w:t>
            </w:r>
          </w:p>
        </w:tc>
        <w:tc>
          <w:tcPr>
            <w:tcW w:w="420" w:type="dxa"/>
            <w:vAlign w:val="bottom"/>
            <w:shd w:val="clear" w:color="auto" w:fill="CCECFF"/>
          </w:tcPr>
          <w:p>
            <w:pPr>
              <w:spacing w:after="0"/>
              <w:rPr>
                <w:sz w:val="21"/>
                <w:szCs w:val="21"/>
                <w:color w:val="auto"/>
              </w:rPr>
            </w:pPr>
          </w:p>
        </w:tc>
        <w:tc>
          <w:tcPr>
            <w:tcW w:w="11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rPr>
              <w:t>(97.8 )</w:t>
            </w: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tcPr>
          <w:p>
            <w:pPr>
              <w:spacing w:after="0"/>
              <w:rPr>
                <w:sz w:val="21"/>
                <w:szCs w:val="21"/>
                <w:color w:val="auto"/>
              </w:rPr>
            </w:pPr>
          </w:p>
        </w:tc>
      </w:tr>
      <w:tr>
        <w:trPr>
          <w:trHeight w:val="539"/>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8"/>
                <w:szCs w:val="18"/>
                <w:color w:val="auto"/>
              </w:rPr>
              <w:t>(314.8 )</w:t>
            </w:r>
          </w:p>
        </w:tc>
        <w:tc>
          <w:tcPr>
            <w:tcW w:w="4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(97.0 )</w:t>
            </w:r>
          </w:p>
        </w:tc>
        <w:tc>
          <w:tcPr>
            <w:tcW w:w="100" w:type="dxa"/>
            <w:vAlign w:val="bottom"/>
          </w:tcPr>
          <w:p>
            <w:pPr>
              <w:spacing w:after="0"/>
              <w:rPr>
                <w:sz w:val="21"/>
                <w:szCs w:val="21"/>
                <w:color w:val="auto"/>
              </w:rPr>
            </w:pPr>
          </w:p>
        </w:tc>
      </w:tr>
      <w:tr>
        <w:trPr>
          <w:trHeight w:val="238"/>
        </w:trPr>
        <w:tc>
          <w:tcPr>
            <w:tcW w:w="68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generated by (used in) operating activities:</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21"/>
                <w:szCs w:val="2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8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92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(180.5 )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C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(101.6 )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8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shd w:val="clear" w:color="auto" w:fill="CCECFF"/>
          </w:tcPr>
          <w:p>
            <w:pPr>
              <w:spacing w:after="0"/>
              <w:rPr>
                <w:sz w:val="21"/>
                <w:szCs w:val="21"/>
                <w:color w:val="auto"/>
              </w:rPr>
            </w:pPr>
          </w:p>
        </w:tc>
        <w:tc>
          <w:tcPr>
            <w:tcW w:w="96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82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92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8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(411.2 )</w:t>
            </w:r>
          </w:p>
        </w:tc>
        <w:tc>
          <w:tcPr>
            <w:tcW w:w="100" w:type="dxa"/>
            <w:vAlign w:val="bottom"/>
          </w:tcPr>
          <w:p>
            <w:pPr>
              <w:spacing w:after="0"/>
              <w:rPr>
                <w:sz w:val="21"/>
                <w:szCs w:val="21"/>
                <w:color w:val="auto"/>
              </w:rPr>
            </w:pPr>
          </w:p>
        </w:tc>
      </w:tr>
      <w:tr>
        <w:trPr>
          <w:trHeight w:val="243"/>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51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operating activities</w:t>
            </w:r>
          </w:p>
        </w:tc>
        <w:tc>
          <w:tcPr>
            <w:tcW w:w="300" w:type="dxa"/>
            <w:vAlign w:val="bottom"/>
            <w:shd w:val="clear" w:color="auto" w:fill="CCECFF"/>
          </w:tcPr>
          <w:p>
            <w:pPr>
              <w:spacing w:after="0"/>
              <w:rPr>
                <w:sz w:val="22"/>
                <w:szCs w:val="22"/>
                <w:color w:val="auto"/>
              </w:rPr>
            </w:pPr>
          </w:p>
        </w:tc>
        <w:tc>
          <w:tcPr>
            <w:tcW w:w="96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420" w:type="dxa"/>
            <w:vAlign w:val="bottom"/>
            <w:shd w:val="clear" w:color="auto" w:fill="CCECFF"/>
          </w:tcPr>
          <w:p>
            <w:pPr>
              <w:spacing w:after="0"/>
              <w:rPr>
                <w:sz w:val="22"/>
                <w:szCs w:val="22"/>
                <w:color w:val="auto"/>
              </w:rPr>
            </w:pPr>
          </w:p>
        </w:tc>
        <w:tc>
          <w:tcPr>
            <w:tcW w:w="820" w:type="dxa"/>
            <w:vAlign w:val="bottom"/>
            <w:shd w:val="clear" w:color="auto" w:fill="CCECFF"/>
          </w:tcPr>
          <w:p>
            <w:pPr>
              <w:spacing w:after="0"/>
              <w:rPr>
                <w:sz w:val="22"/>
                <w:szCs w:val="22"/>
                <w:color w:val="auto"/>
              </w:rPr>
            </w:pPr>
          </w:p>
        </w:tc>
        <w:tc>
          <w:tcPr>
            <w:tcW w:w="320" w:type="dxa"/>
            <w:vAlign w:val="bottom"/>
            <w:shd w:val="clear" w:color="auto" w:fill="CCECFF"/>
          </w:tcPr>
          <w:p>
            <w:pPr>
              <w:spacing w:after="0"/>
              <w:rPr>
                <w:sz w:val="22"/>
                <w:szCs w:val="22"/>
                <w:color w:val="auto"/>
              </w:rPr>
            </w:pPr>
          </w:p>
        </w:tc>
        <w:tc>
          <w:tcPr>
            <w:tcW w:w="18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8"/>
                <w:szCs w:val="18"/>
                <w:color w:val="auto"/>
              </w:rPr>
              <w:t>(126.9 )</w:t>
            </w:r>
          </w:p>
        </w:tc>
        <w:tc>
          <w:tcPr>
            <w:tcW w:w="4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CFF"/>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518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960" w:type="dxa"/>
            <w:vAlign w:val="bottom"/>
            <w:tcBorders>
              <w:top w:val="single" w:sz="8" w:color="CCECFF"/>
            </w:tcBorders>
            <w:shd w:val="clear" w:color="auto" w:fill="CCECFF"/>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CCECFF"/>
            </w:tcBorders>
            <w:shd w:val="clear" w:color="auto" w:fill="CCECFF"/>
          </w:tcPr>
          <w:p>
            <w:pPr>
              <w:spacing w:after="0" w:line="20" w:lineRule="exact"/>
              <w:rPr>
                <w:sz w:val="1"/>
                <w:szCs w:val="1"/>
                <w:color w:val="auto"/>
              </w:rPr>
            </w:pPr>
          </w:p>
        </w:tc>
        <w:tc>
          <w:tcPr>
            <w:tcW w:w="82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-3347085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net cash generated by (used in) operating activities decreased compared to the prior year period primarily due to better operating performance in the first half of 2023 compared to the first half of 2024, partially offset by lower variable incentive compensation paid in the first half of 2024 compared to the first half of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7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4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500" w:type="dxa"/>
            <w:vAlign w:val="bottom"/>
            <w:gridSpan w:val="2"/>
            <w:shd w:val="clear" w:color="auto" w:fill="CCEC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(11.3 )</w:t>
            </w:r>
          </w:p>
        </w:tc>
        <w:tc>
          <w:tcPr>
            <w:tcW w:w="780" w:type="dxa"/>
            <w:vAlign w:val="bottom"/>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w w:val="99"/>
              </w:rPr>
              <w:t>(35.2 )</w:t>
            </w:r>
          </w:p>
        </w:tc>
      </w:tr>
      <w:tr>
        <w:trPr>
          <w:trHeight w:val="238"/>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r>
      <w:tr>
        <w:trPr>
          <w:trHeight w:val="247"/>
        </w:trPr>
        <w:tc>
          <w:tcPr>
            <w:tcW w:w="4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3800" w:type="dxa"/>
            <w:vAlign w:val="bottom"/>
            <w:shd w:val="clear" w:color="auto" w:fill="CCECFF"/>
          </w:tcPr>
          <w:p>
            <w:pPr>
              <w:spacing w:after="0"/>
              <w:rPr>
                <w:sz w:val="21"/>
                <w:szCs w:val="21"/>
                <w:color w:val="auto"/>
              </w:rPr>
            </w:pPr>
          </w:p>
        </w:tc>
        <w:tc>
          <w:tcPr>
            <w:tcW w:w="700" w:type="dxa"/>
            <w:vAlign w:val="bottom"/>
            <w:shd w:val="clear" w:color="auto" w:fill="CCECFF"/>
          </w:tcPr>
          <w:p>
            <w:pPr>
              <w:spacing w:after="0"/>
              <w:rPr>
                <w:sz w:val="21"/>
                <w:szCs w:val="21"/>
                <w:color w:val="auto"/>
              </w:rPr>
            </w:pP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(45.1 )</w:t>
            </w:r>
          </w:p>
        </w:tc>
        <w:tc>
          <w:tcPr>
            <w:tcW w:w="780" w:type="dxa"/>
            <w:vAlign w:val="bottom"/>
            <w:shd w:val="clear" w:color="auto" w:fill="CCECFF"/>
          </w:tcPr>
          <w:p>
            <w:pPr>
              <w:spacing w:after="0"/>
              <w:rPr>
                <w:sz w:val="21"/>
                <w:szCs w:val="21"/>
                <w:color w:val="auto"/>
              </w:rPr>
            </w:pPr>
          </w:p>
        </w:tc>
        <w:tc>
          <w:tcPr>
            <w:tcW w:w="5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r>
      <w:tr>
        <w:trPr>
          <w:trHeight w:val="276"/>
        </w:trPr>
        <w:tc>
          <w:tcPr>
            <w:tcW w:w="4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generated by (used in) investing activities</w:t>
            </w:r>
          </w:p>
        </w:tc>
        <w:tc>
          <w:tcPr>
            <w:tcW w:w="4500" w:type="dxa"/>
            <w:vAlign w:val="bottom"/>
            <w:gridSpan w:val="2"/>
            <w:shd w:val="clear" w:color="auto" w:fill="CCEC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8"/>
                <w:szCs w:val="18"/>
                <w:color w:val="auto"/>
                <w:w w:val="91"/>
              </w:rPr>
              <w:t>(47.6 )</w:t>
            </w:r>
          </w:p>
        </w:tc>
        <w:tc>
          <w:tcPr>
            <w:tcW w:w="780" w:type="dxa"/>
            <w:vAlign w:val="bottom"/>
            <w:shd w:val="clear" w:color="auto" w:fill="CCEC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CFF"/>
          </w:tcPr>
          <w:p>
            <w:pPr>
              <w:spacing w:after="0"/>
              <w:rPr>
                <w:sz w:val="24"/>
                <w:szCs w:val="24"/>
                <w:color w:val="auto"/>
              </w:rPr>
            </w:pPr>
          </w:p>
        </w:tc>
      </w:tr>
      <w:tr>
        <w:trPr>
          <w:trHeight w:val="628"/>
        </w:trPr>
        <w:tc>
          <w:tcPr>
            <w:tcW w:w="4740" w:type="dxa"/>
            <w:vAlign w:val="bottom"/>
            <w:tcBorders>
              <w:top w:val="single" w:sz="8" w:color="CCECFF"/>
            </w:tcBorders>
          </w:tcPr>
          <w:p>
            <w:pPr>
              <w:spacing w:after="0"/>
              <w:rPr>
                <w:sz w:val="24"/>
                <w:szCs w:val="24"/>
                <w:color w:val="auto"/>
              </w:rPr>
            </w:pPr>
          </w:p>
        </w:tc>
        <w:tc>
          <w:tcPr>
            <w:tcW w:w="3800" w:type="dxa"/>
            <w:vAlign w:val="bottom"/>
            <w:tcBorders>
              <w:top w:val="single" w:sz="8" w:color="CCECFF"/>
            </w:tcBorders>
          </w:tcPr>
          <w:p>
            <w:pPr>
              <w:jc w:val="right"/>
              <w:ind w:right="273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1194"/>
        </w:trPr>
        <w:tc>
          <w:tcPr>
            <w:tcW w:w="47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6109970</wp:posOffset>
            </wp:positionH>
            <wp:positionV relativeFrom="paragraph">
              <wp:posOffset>-1206500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-1189355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40" w:name="page41"/>
    <w:bookmarkEnd w:id="40"/>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decrease in cash generated by (used in) investing activities compared to the prior year period was primarily driven by cash paid of $45.1 million related to the Casa Transaction and decreased capital expenditures of $23.9 million, partially offset by prior year period proceeds of $41.6 million from the sale of property, plant and equipment mostly related to the sale of an international manufacturing facility that was closed as part of CommScope NEXT. Cash used in investing activities in the current year period was favorably impacted by proceeds of $8.6 million on the sale of certain nonfinancial assets. Cash generated by investing activities in the prior year period was favorably impacted by proceeds of $11.2 million related to the sale of an equity investment and proceeds of $9.3 million on the sale of certain nonfinancial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4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84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4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Long-term debt repaid</w:t>
            </w:r>
          </w:p>
        </w:tc>
        <w:tc>
          <w:tcPr>
            <w:tcW w:w="7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w w:val="99"/>
              </w:rPr>
              <w:t>(16.0 )</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r>
      <w:tr>
        <w:trPr>
          <w:trHeight w:val="238"/>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repurchases</w:t>
            </w:r>
          </w:p>
        </w:tc>
        <w:tc>
          <w:tcPr>
            <w:tcW w:w="760" w:type="dxa"/>
            <w:vAlign w:val="bottom"/>
          </w:tcPr>
          <w:p>
            <w:pPr>
              <w:spacing w:after="0"/>
              <w:rPr>
                <w:sz w:val="20"/>
                <w:szCs w:val="20"/>
                <w:color w:val="auto"/>
              </w:rPr>
            </w:pPr>
          </w:p>
        </w:tc>
        <w:tc>
          <w:tcPr>
            <w:tcW w:w="7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r>
      <w:tr>
        <w:trPr>
          <w:trHeight w:val="247"/>
        </w:trPr>
        <w:tc>
          <w:tcPr>
            <w:tcW w:w="84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Tax withholding payments for vested equity-based compensation awards</w:t>
            </w:r>
          </w:p>
        </w:tc>
        <w:tc>
          <w:tcPr>
            <w:tcW w:w="760" w:type="dxa"/>
            <w:vAlign w:val="bottom"/>
            <w:shd w:val="clear" w:color="auto" w:fill="CCECFF"/>
          </w:tcPr>
          <w:p>
            <w:pPr>
              <w:spacing w:after="0"/>
              <w:rPr>
                <w:sz w:val="21"/>
                <w:szCs w:val="21"/>
                <w:color w:val="auto"/>
              </w:rPr>
            </w:pPr>
          </w:p>
        </w:tc>
        <w:tc>
          <w:tcPr>
            <w:tcW w:w="7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rPr>
              <w:t>(1.8 )</w:t>
            </w:r>
          </w:p>
        </w:tc>
        <w:tc>
          <w:tcPr>
            <w:tcW w:w="4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r>
      <w:tr>
        <w:trPr>
          <w:trHeight w:val="256"/>
        </w:trPr>
        <w:tc>
          <w:tcPr>
            <w:tcW w:w="8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shd w:val="clear" w:color="auto" w:fill="CCEC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8"/>
                <w:szCs w:val="18"/>
                <w:color w:val="auto"/>
                <w:w w:val="99"/>
              </w:rPr>
              <w:t>(17.8 )</w:t>
            </w: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(97.8 )</w:t>
            </w:r>
          </w:p>
        </w:tc>
      </w:tr>
      <w:tr>
        <w:trPr>
          <w:trHeight w:val="20"/>
        </w:trPr>
        <w:tc>
          <w:tcPr>
            <w:tcW w:w="844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-24765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we paid the quarterly scheduled amortization payment of $16.0 million on the 2026 Term Loan. We did not borrow under our Revolving Credit Facility. As of June 30, 2024, we had no outstanding borrowings under the Revolving Credit Facility and the remaining availability was $535.4 million, reflecting a borrowing base subject to maximum capacity of $634.4 million reduced by $99.0 million of letters of credit issued under the Revolving Credit Facility.</w:t>
      </w:r>
    </w:p>
    <w:p>
      <w:pPr>
        <w:spacing w:after="0" w:line="18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2023, we repurchased $56.9 million aggregate principal amount of our 8.25% senior notes due 2027, $3.1 million aggregate principal amount of our 7.125% senior notes due 2028 and $25.4 million aggregate principal amount of the 2025 Notes, for total cash consideration paid of $75.0 million. We also paid two quarterly scheduled amortization payments totaling $16.0 million on the 2026 Term Loan during the six months ended June 30, 2023.</w:t>
      </w:r>
    </w:p>
    <w:p>
      <w:pPr>
        <w:spacing w:after="0" w:line="182"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employees surrendered shares of our common stock to satisfy their tax withholding requirements on vested restricted stock units (RSUs) and performance share units (PSUs), which reduced cash flows by $1.8 million compared to $8.9 million in the prior year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also believe presenting these non-GAAP results for the twelve months ended June 30, 2024 provides an additional tool for assessing our recent performance. Such amounts are unaudited and are derived by subtracting the data for the six months ended June 30, 2023 from the data for the year ended December 31, 2023 and then adding the data for the six months ended June 30, 2024.</w:t>
      </w:r>
    </w:p>
    <w:p>
      <w:pPr>
        <w:spacing w:after="0" w:line="17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4"/>
                <w:szCs w:val="14"/>
                <w:color w:val="auto"/>
              </w:rPr>
            </w:pPr>
          </w:p>
        </w:tc>
        <w:tc>
          <w:tcPr>
            <w:tcW w:w="17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75"/>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4"/>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4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80" w:type="dxa"/>
            <w:vAlign w:val="bottom"/>
            <w:shd w:val="clear" w:color="auto" w:fill="CCECFF"/>
          </w:tcPr>
          <w:p>
            <w:pPr>
              <w:spacing w:after="0"/>
              <w:rPr>
                <w:sz w:val="21"/>
                <w:szCs w:val="21"/>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(63.1 )</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(187.3 )</w:t>
            </w:r>
          </w:p>
        </w:tc>
        <w:tc>
          <w:tcPr>
            <w:tcW w:w="3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(33.3 )</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(851.3 )</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(1,005.3 )</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(43.7 )</w:t>
            </w:r>
          </w:p>
        </w:tc>
        <w:tc>
          <w:tcPr>
            <w:tcW w:w="1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(55.3 )</w:t>
            </w:r>
          </w:p>
        </w:tc>
      </w:tr>
      <w:tr>
        <w:trPr>
          <w:trHeight w:val="20"/>
        </w:trPr>
        <w:tc>
          <w:tcPr>
            <w:tcW w:w="46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3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(112.9 )</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(198.5 )</w:t>
            </w:r>
          </w:p>
        </w:tc>
      </w:tr>
      <w:tr>
        <w:trPr>
          <w:trHeight w:val="247"/>
        </w:trPr>
        <w:tc>
          <w:tcPr>
            <w:tcW w:w="4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CFF"/>
          </w:tcPr>
          <w:p>
            <w:pPr>
              <w:spacing w:after="0"/>
              <w:rPr>
                <w:sz w:val="21"/>
                <w:szCs w:val="21"/>
                <w:color w:val="auto"/>
              </w:rPr>
            </w:pPr>
          </w:p>
        </w:tc>
        <w:tc>
          <w:tcPr>
            <w:tcW w:w="58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5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180" w:type="dxa"/>
            <w:vAlign w:val="bottom"/>
            <w:shd w:val="clear" w:color="auto" w:fill="CCECFF"/>
          </w:tcPr>
          <w:p>
            <w:pPr>
              <w:spacing w:after="0"/>
              <w:rPr>
                <w:sz w:val="21"/>
                <w:szCs w:val="2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CFF"/>
          </w:tcPr>
          <w:p>
            <w:pPr>
              <w:spacing w:after="0"/>
              <w:rPr>
                <w:sz w:val="21"/>
                <w:szCs w:val="2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Asset impairments</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CFF"/>
          </w:tcPr>
          <w:p>
            <w:pPr>
              <w:spacing w:after="0"/>
              <w:rPr>
                <w:sz w:val="21"/>
                <w:szCs w:val="21"/>
                <w:color w:val="auto"/>
              </w:rPr>
            </w:pPr>
          </w:p>
        </w:tc>
      </w:tr>
      <w:tr>
        <w:trPr>
          <w:trHeight w:val="191"/>
        </w:trPr>
        <w:tc>
          <w:tcPr>
            <w:tcW w:w="46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Transaction, transformation and integration</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4660" w:type="dxa"/>
            <w:vAlign w:val="bottom"/>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3"/>
                <w:szCs w:val="23"/>
                <w:color w:val="auto"/>
              </w:rPr>
            </w:pPr>
          </w:p>
        </w:tc>
      </w:tr>
      <w:tr>
        <w:trPr>
          <w:trHeight w:val="243"/>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 xml:space="preserve">Acquisition accounting adjustments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CFF"/>
          </w:tcPr>
          <w:p>
            <w:pPr>
              <w:spacing w:after="0"/>
              <w:rPr>
                <w:sz w:val="21"/>
                <w:szCs w:val="21"/>
                <w:color w:val="auto"/>
              </w:rPr>
            </w:pPr>
          </w:p>
        </w:tc>
      </w:tr>
      <w:tr>
        <w:trPr>
          <w:trHeight w:val="238"/>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claims and litigation settlements</w:t>
            </w:r>
          </w:p>
        </w:tc>
        <w:tc>
          <w:tcPr>
            <w:tcW w:w="18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47"/>
        </w:trPr>
        <w:tc>
          <w:tcPr>
            <w:tcW w:w="4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180" w:type="dxa"/>
            <w:vAlign w:val="bottom"/>
            <w:shd w:val="clear" w:color="auto" w:fill="CCECFF"/>
          </w:tcPr>
          <w:p>
            <w:pPr>
              <w:spacing w:after="0"/>
              <w:rPr>
                <w:sz w:val="21"/>
                <w:szCs w:val="21"/>
                <w:color w:val="auto"/>
              </w:rPr>
            </w:pPr>
          </w:p>
        </w:tc>
        <w:tc>
          <w:tcPr>
            <w:tcW w:w="8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CFF"/>
          </w:tcPr>
          <w:p>
            <w:pPr>
              <w:spacing w:after="0"/>
              <w:rPr>
                <w:sz w:val="21"/>
                <w:szCs w:val="21"/>
                <w:color w:val="auto"/>
              </w:rPr>
            </w:pPr>
          </w:p>
        </w:tc>
        <w:tc>
          <w:tcPr>
            <w:tcW w:w="8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shd w:val="clear" w:color="auto" w:fill="CCECFF"/>
          </w:tcPr>
          <w:p>
            <w:pPr>
              <w:spacing w:after="0"/>
              <w:rPr>
                <w:sz w:val="21"/>
                <w:szCs w:val="21"/>
                <w:color w:val="auto"/>
              </w:rPr>
            </w:pPr>
          </w:p>
        </w:tc>
        <w:tc>
          <w:tcPr>
            <w:tcW w:w="6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7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CFF"/>
          </w:tcPr>
          <w:p>
            <w:pPr>
              <w:spacing w:after="0"/>
              <w:rPr>
                <w:sz w:val="21"/>
                <w:szCs w:val="21"/>
                <w:color w:val="auto"/>
              </w:rPr>
            </w:pPr>
          </w:p>
        </w:tc>
        <w:tc>
          <w:tcPr>
            <w:tcW w:w="128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CFF"/>
          </w:tcPr>
          <w:p>
            <w:pPr>
              <w:spacing w:after="0"/>
              <w:rPr>
                <w:sz w:val="21"/>
                <w:szCs w:val="21"/>
                <w:color w:val="auto"/>
              </w:rPr>
            </w:pP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Cyber incident costs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r>
      <w:tr>
        <w:trPr>
          <w:trHeight w:val="243"/>
        </w:trPr>
        <w:tc>
          <w:tcPr>
            <w:tcW w:w="46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Borders>
              <w:bottom w:val="single" w:sz="8" w:color="auto"/>
            </w:tcBorders>
            <w:shd w:val="clear" w:color="auto" w:fill="CCECFF"/>
          </w:tcPr>
          <w:p>
            <w:pPr>
              <w:spacing w:after="0"/>
              <w:rPr>
                <w:sz w:val="21"/>
                <w:szCs w:val="2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spacing w:after="0"/>
              <w:rPr>
                <w:sz w:val="21"/>
                <w:szCs w:val="2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spacing w:after="0"/>
              <w:rPr>
                <w:sz w:val="21"/>
                <w:szCs w:val="21"/>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-2182495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-2182495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-2182495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-2182495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-2182495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-187960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-187960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-187960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-187960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2024 and 2023, primarily reflects transaction costs related to certain CommScope NEXT initiatives.</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2023, reflects ARRIS acquisition accounting adjustments related to reducing deferred revenue to its estimated fair value.</w:t>
      </w:r>
    </w:p>
    <w:p>
      <w:pPr>
        <w:spacing w:after="0" w:line="6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2023, primarily reflects costs of the identification, investigation, defense and recovery efforts related to a cyber incident that occurred in late March of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Reconciliation of Segment Adjusted EBITDA</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Segment adjusted EBITDA is provided as a performance measure in Note 9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in Note 9.</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and Cable Solutions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Recovery of Russian accounts receivable</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9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Networking, Intelligent Cellular and Security Solutions Segment (excluding DAS)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(24.8 )</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(61.8 )</w:t>
            </w:r>
          </w:p>
        </w:tc>
        <w:tc>
          <w:tcPr>
            <w:tcW w:w="32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80" w:type="dxa"/>
            <w:vAlign w:val="bottom"/>
            <w:shd w:val="clear" w:color="auto" w:fill="CFF0FC"/>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Access Network Solutions Segment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(63.6 )</w:t>
            </w:r>
          </w:p>
        </w:tc>
        <w:tc>
          <w:tcPr>
            <w:tcW w:w="32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 (credits), net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shd w:val="clear" w:color="auto" w:fill="CCECFF"/>
          </w:tcPr>
          <w:p>
            <w:pPr>
              <w:spacing w:after="0"/>
              <w:rPr>
                <w:sz w:val="21"/>
                <w:szCs w:val="21"/>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98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8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shd w:val="clear" w:color="auto" w:fill="CCECFF"/>
          </w:tcPr>
          <w:p>
            <w:pPr>
              <w:spacing w:after="0"/>
              <w:rPr>
                <w:sz w:val="21"/>
                <w:szCs w:val="2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-5556250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-5556250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-5556250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-5556250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-3073400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-3073400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-3073400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-598805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-598805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-598805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Outdoor Wireless Networks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EC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62.4</w:t>
            </w:r>
          </w:p>
        </w:tc>
        <w:tc>
          <w:tcPr>
            <w:tcW w:w="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6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r>
      <w:tr>
        <w:trPr>
          <w:trHeight w:val="247"/>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r>
      <w:tr>
        <w:trPr>
          <w:trHeight w:val="247"/>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Cyber incident costs</w:t>
            </w: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CFF"/>
          </w:tcPr>
          <w:p>
            <w:pPr>
              <w:spacing w:after="0"/>
              <w:rPr>
                <w:sz w:val="21"/>
                <w:szCs w:val="2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r>
      <w:tr>
        <w:trPr>
          <w:trHeight w:val="276"/>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shd w:val="clear" w:color="auto" w:fill="CCEC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75.4</w:t>
            </w:r>
          </w:p>
        </w:tc>
        <w:tc>
          <w:tcPr>
            <w:tcW w:w="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CFF"/>
          </w:tcPr>
          <w:p>
            <w:pPr>
              <w:spacing w:after="0"/>
              <w:rPr>
                <w:sz w:val="24"/>
                <w:szCs w:val="24"/>
                <w:color w:val="auto"/>
              </w:rPr>
            </w:pPr>
          </w:p>
        </w:tc>
      </w:tr>
      <w:tr>
        <w:trPr>
          <w:trHeight w:val="520"/>
        </w:trPr>
        <w:tc>
          <w:tcPr>
            <w:tcW w:w="6380" w:type="dxa"/>
            <w:vAlign w:val="bottom"/>
            <w:tcBorders>
              <w:top w:val="single" w:sz="8" w:color="CCEC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Distributed Antenna Systems</w:t>
            </w:r>
          </w:p>
        </w:tc>
        <w:tc>
          <w:tcPr>
            <w:tcW w:w="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r>
      <w:tr>
        <w:trPr>
          <w:trHeight w:val="326"/>
        </w:trPr>
        <w:tc>
          <w:tcPr>
            <w:tcW w:w="6380" w:type="dxa"/>
            <w:vAlign w:val="bottom"/>
          </w:tcPr>
          <w:p>
            <w:pPr>
              <w:spacing w:after="0"/>
              <w:rPr>
                <w:sz w:val="24"/>
                <w:szCs w:val="24"/>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6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20" w:type="dxa"/>
            <w:vAlign w:val="bottom"/>
            <w:shd w:val="clear" w:color="auto" w:fill="CCEC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95"/>
              </w:rPr>
              <w:t>22.5</w:t>
            </w:r>
          </w:p>
        </w:tc>
        <w:tc>
          <w:tcPr>
            <w:tcW w:w="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 net</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47"/>
        </w:trPr>
        <w:tc>
          <w:tcPr>
            <w:tcW w:w="638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shd w:val="clear" w:color="auto" w:fill="CCECFF"/>
          </w:tcPr>
          <w:p>
            <w:pPr>
              <w:spacing w:after="0"/>
              <w:rPr>
                <w:sz w:val="21"/>
                <w:szCs w:val="21"/>
                <w:color w:val="auto"/>
              </w:rPr>
            </w:pPr>
          </w:p>
        </w:tc>
        <w:tc>
          <w:tcPr>
            <w:tcW w:w="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CFF"/>
          </w:tcPr>
          <w:p>
            <w:pPr>
              <w:spacing w:after="0"/>
              <w:rPr>
                <w:sz w:val="21"/>
                <w:szCs w:val="21"/>
                <w:color w:val="auto"/>
              </w:rPr>
            </w:pPr>
          </w:p>
        </w:tc>
      </w:tr>
      <w:tr>
        <w:trPr>
          <w:trHeight w:val="238"/>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transformation and integration costs</w:t>
            </w: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38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620" w:type="dxa"/>
            <w:vAlign w:val="bottom"/>
            <w:tcBorders>
              <w:bottom w:val="single" w:sz="8" w:color="auto"/>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spacing w:after="0"/>
              <w:rPr>
                <w:sz w:val="21"/>
                <w:szCs w:val="2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-2199640</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-2182495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-2199640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-2182495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-2199640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-2182495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-187960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Components may not sum to total due to rounding.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and uncertainties, many of which are outside our control, including, without limitation,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CommScope NEXT and other cost saving initiatives;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substantial indebtedness, including our upcoming maturities and evaluation of capital structure alternatives and restrictive debt covenants; our ability to refinance existing indebtedness prior to its maturity or incur additional indebtedness at acceptable interest rates or at all; our ability to generate cash to service our indebtedness; the divestiture of the Home segment and its effect on our remaining businesses; the expected timing of the closing of the sale of the OWN and DAS businesses (the Transaction); the expected benefits of the Transaction, including the expected financial performance of CommScope following the Transaction; the ability of the parties to obtain any required regulatory approvals in connection with the Transaction and to complete the Transaction considering the various closing conditions; expenses related to the Transaction and any potential future costs; the occurrence of any event, change or other circumstance that could give rise to the termination of the definitive agreement governing the Transaction, or an inability to consummate the Transaction on the terms described or at all; the effect of the announcement of the Transaction on the ability of CommScope to retain and hire key personnel and maintain relationships with its key business partners and customers, and others with whom it does business, or on its operating results and businesses generally; the response of CommScope’s competitors, creditors and other stakeholders to the Transaction; risks associated with the disruption of management’s attention from ongoing business operations due to the Transaction; the ability to meet expectations regarding the timing and completion of the Transaction; potential litigation relating to the Transaction; restrictions during the pendency of the Transaction that may impact the ability to pursue certain business opportunities, including uncertainty regarding the timing of the separation, achievement of the expected benefits and the potential disruption to the business;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 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 These and other factors are discussed in greater detail in our 2023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5" w:name="page46"/>
    <w:bookmarkEnd w:id="45"/>
    <w:p>
      <w:pPr>
        <w:spacing w:after="0" w:line="260" w:lineRule="auto"/>
        <w:rPr>
          <w:sz w:val="20"/>
          <w:szCs w:val="20"/>
          <w:color w:val="auto"/>
        </w:rPr>
      </w:pPr>
      <w:r>
        <w:rPr>
          <w:rFonts w:ascii="Times New Roman" w:cs="Times New Roman" w:eastAsia="Times New Roman" w:hAnsi="Times New Roman"/>
          <w:sz w:val="18"/>
          <w:szCs w:val="18"/>
          <w:color w:val="auto"/>
        </w:rPr>
        <w:t>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Quarterly Report on Form 10-Q, except to the extent required by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in the interest rate risk, commodity price risk or foreign currency exchange rate risk information previously reported under Item 7A of our 2023 Annual Report, as filed with the Securities and Exchange Commission on February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Reference should be made to our 2023 Annual Report for additional information regarding discussion of the effectiveness of the Company’s controls and procedures. There have been no changes in our internal control over financial reporting during the quarter ended June 30, 2024 that have materially affected, or are reasonably likely to materially affect, our internal control over financial reporting.</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0" w:right="4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a party to certain intellectual property claims and also periodically receives notices asserting that its products infringe on another party’s patents and other intellectual property rights. These claims and assertions, whether against the Company directly or against its customers, could require the Company to pay damages or royalties, stop offering the relevant products and/or cease other activities. The Company may also be called upon to indemnify certain customers for costs related to products sold to such customers. The outcome of these claims and notices is uncertain, and a reasonable estimate of the loss from unfavorable outcomes in certain of these matters either cannot be determined or is estimated at the minimum amount of a range of estimates. The actual loss, through settlement or trial, could be material and may vary significantly from the Company's estimates. From time to time, the Company may also be involved as a plaintiff in certain intellectual property claims. Gain contingencies, if any, are recognized when they are realized.</w:t>
      </w:r>
    </w:p>
    <w:p>
      <w:pPr>
        <w:spacing w:after="0" w:line="18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6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Item 1A, "Risk Factors" of our 2023 Annual Report.</w:t>
      </w:r>
    </w:p>
    <w:p>
      <w:pPr>
        <w:spacing w:after="0" w:line="281" w:lineRule="exact"/>
        <w:rPr>
          <w:sz w:val="20"/>
          <w:szCs w:val="20"/>
          <w:color w:val="auto"/>
        </w:rPr>
      </w:pPr>
    </w:p>
    <w:p>
      <w:pPr>
        <w:ind w:right="410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purchase activity for the three months ended June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20" w:type="dxa"/>
            <w:vAlign w:val="bottom"/>
          </w:tcPr>
          <w:p>
            <w:pPr>
              <w:spacing w:after="0"/>
              <w:rPr>
                <w:sz w:val="13"/>
                <w:szCs w:val="13"/>
                <w:color w:val="auto"/>
              </w:rPr>
            </w:pPr>
          </w:p>
        </w:tc>
        <w:tc>
          <w:tcPr>
            <w:tcW w:w="7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Value of Shares that</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3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40" w:type="dxa"/>
            <w:vAlign w:val="bottom"/>
          </w:tcPr>
          <w:p>
            <w:pPr>
              <w:spacing w:after="0"/>
              <w:rPr>
                <w:sz w:val="8"/>
                <w:szCs w:val="8"/>
                <w:color w:val="auto"/>
              </w:rPr>
            </w:pPr>
          </w:p>
        </w:tc>
        <w:tc>
          <w:tcPr>
            <w:tcW w:w="19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80" w:type="dxa"/>
            <w:vAlign w:val="bottom"/>
          </w:tcPr>
          <w:p>
            <w:pPr>
              <w:spacing w:after="0"/>
              <w:rPr>
                <w:sz w:val="8"/>
                <w:szCs w:val="8"/>
                <w:color w:val="auto"/>
              </w:rPr>
            </w:pPr>
          </w:p>
        </w:tc>
        <w:tc>
          <w:tcPr>
            <w:tcW w:w="23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 the</w:t>
            </w:r>
          </w:p>
        </w:tc>
        <w:tc>
          <w:tcPr>
            <w:tcW w:w="0" w:type="dxa"/>
            <w:vAlign w:val="bottom"/>
          </w:tcPr>
          <w:p>
            <w:pPr>
              <w:spacing w:after="0"/>
              <w:rPr>
                <w:sz w:val="1"/>
                <w:szCs w:val="1"/>
                <w:color w:val="auto"/>
              </w:rPr>
            </w:pPr>
          </w:p>
        </w:tc>
      </w:tr>
      <w:tr>
        <w:trPr>
          <w:trHeight w:val="56"/>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21"/>
                <w:szCs w:val="21"/>
                <w:b w:val="1"/>
                <w:bCs w:val="1"/>
                <w:color w:val="auto"/>
                <w:w w:val="98"/>
                <w:vertAlign w:val="superscript"/>
              </w:rPr>
              <w:t>(1)</w:t>
            </w:r>
          </w:p>
        </w:tc>
        <w:tc>
          <w:tcPr>
            <w:tcW w:w="3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4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58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CFF"/>
          </w:tcPr>
          <w:p>
            <w:pPr>
              <w:spacing w:after="0"/>
              <w:rPr>
                <w:sz w:val="20"/>
                <w:szCs w:val="20"/>
                <w:color w:val="auto"/>
              </w:rPr>
            </w:pPr>
          </w:p>
        </w:tc>
        <w:tc>
          <w:tcPr>
            <w:tcW w:w="1980" w:type="dxa"/>
            <w:vAlign w:val="bottom"/>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Pr>
          <w:p>
            <w:pPr>
              <w:spacing w:after="0"/>
              <w:rPr>
                <w:sz w:val="20"/>
                <w:szCs w:val="20"/>
                <w:color w:val="auto"/>
              </w:rPr>
            </w:pPr>
          </w:p>
        </w:tc>
        <w:tc>
          <w:tcPr>
            <w:tcW w:w="19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60" w:type="dxa"/>
            <w:vAlign w:val="bottom"/>
            <w:tcBorders>
              <w:bottom w:val="single" w:sz="8" w:color="CCECFF"/>
            </w:tcBorders>
            <w:shd w:val="clear" w:color="auto" w:fill="CCECFF"/>
          </w:tcPr>
          <w:p>
            <w:pPr>
              <w:spacing w:after="0"/>
              <w:rPr>
                <w:sz w:val="21"/>
                <w:szCs w:val="21"/>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1,125,960</w:t>
            </w:r>
          </w:p>
        </w:tc>
        <w:tc>
          <w:tcPr>
            <w:tcW w:w="580" w:type="dxa"/>
            <w:vAlign w:val="bottom"/>
            <w:tcBorders>
              <w:bottom w:val="single" w:sz="8" w:color="CCECFF"/>
            </w:tcBorders>
            <w:gridSpan w:val="2"/>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bottom w:val="single" w:sz="8" w:color="CCECFF"/>
            </w:tcBorders>
            <w:shd w:val="clear" w:color="auto" w:fill="CCECFF"/>
          </w:tcPr>
          <w:p>
            <w:pPr>
              <w:spacing w:after="0"/>
              <w:rPr>
                <w:sz w:val="21"/>
                <w:szCs w:val="21"/>
                <w:color w:val="auto"/>
              </w:rPr>
            </w:pPr>
          </w:p>
        </w:tc>
        <w:tc>
          <w:tcPr>
            <w:tcW w:w="1980" w:type="dxa"/>
            <w:vAlign w:val="bottom"/>
            <w:tcBorders>
              <w:bottom w:val="single" w:sz="8" w:color="auto"/>
            </w:tcBorders>
            <w:shd w:val="clear" w:color="auto" w:fill="CCECFF"/>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CCECFF"/>
            </w:tcBorders>
            <w:gridSpan w:val="2"/>
            <w:shd w:val="clear" w:color="auto" w:fill="CCEC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1,133,378</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198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-187960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shares purchased were withheld to satisfy the withholding tax obligations related to RSUs and PSUs that vested during the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officers and directors did not enter into, modify or terminate any Rule 10b5-1 trading arrangements or non-Rule 10b5-1 trading arrangements (each as defined in Item 408(c) of Regulation S-K) during the quarter ended June 30, 2024.</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55" w:right="45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8"/>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Purchase Agreement, dated as of July 18, 2024, by and between CommScope Holding Company, Inc. and Amphenol Corporation</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00" w:type="dxa"/>
            <w:vAlign w:val="bottom"/>
            <w:gridSpan w:val="8"/>
          </w:tcPr>
          <w:p>
            <w:pPr>
              <w:spacing w:after="0" w:line="195" w:lineRule="exact"/>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(incorporated by reference to Exhibit 2.1 to the Company’s Current Report on Form 8-K filed with the SEC on July 23, 2024).</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8"/>
          </w:tcPr>
          <w:p>
            <w:pPr>
              <w:spacing w:after="0"/>
              <w:rPr>
                <w:rFonts w:ascii="Times New Roman" w:cs="Times New Roman" w:eastAsia="Times New Roman" w:hAnsi="Times New Roman"/>
                <w:sz w:val="18"/>
                <w:szCs w:val="18"/>
                <w:color w:val="0000FF"/>
                <w:w w:val="99"/>
              </w:rPr>
            </w:pPr>
            <w:hyperlink r:id="rId408">
              <w:r>
                <w:rPr>
                  <w:rFonts w:ascii="Times New Roman" w:cs="Times New Roman" w:eastAsia="Times New Roman" w:hAnsi="Times New Roman"/>
                  <w:sz w:val="18"/>
                  <w:szCs w:val="18"/>
                  <w:color w:val="0000FF"/>
                  <w:w w:val="99"/>
                </w:rPr>
                <w:t>Form of Long-Term Cash Incentive Award Agreement (incorporated by reference to Exhibit 10.1 to the Company’s Current Report on Form</w:t>
              </w:r>
            </w:hyperlink>
          </w:p>
        </w:tc>
      </w:tr>
      <w:tr>
        <w:trPr>
          <w:trHeight w:val="20"/>
        </w:trPr>
        <w:tc>
          <w:tcPr>
            <w:tcW w:w="104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00" w:type="dxa"/>
            <w:vAlign w:val="bottom"/>
            <w:gridSpan w:val="8"/>
          </w:tcPr>
          <w:p>
            <w:pPr>
              <w:spacing w:after="0" w:line="195"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8-K filed with the SEC on May 21, 2024).</w:t>
              </w:r>
              <w:r>
                <w:rPr>
                  <w:rFonts w:ascii="Times New Roman" w:cs="Times New Roman" w:eastAsia="Times New Roman" w:hAnsi="Times New Roman"/>
                  <w:sz w:val="18"/>
                  <w:szCs w:val="18"/>
                  <w:color w:val="000000"/>
                </w:rPr>
                <w:t>***</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Success Bonus Agreement, dated July 22, 2024, between CommScope, LLC and Farid Firouzbakht.</w:t>
            </w:r>
            <w:r>
              <w:rPr>
                <w:rFonts w:ascii="Times New Roman" w:cs="Times New Roman" w:eastAsia="Times New Roman" w:hAnsi="Times New Roman"/>
                <w:sz w:val="18"/>
                <w:szCs w:val="18"/>
                <w:color w:val="000000"/>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FF"/>
            </w:tcBorders>
            <w:gridSpan w:val="2"/>
            <w:shd w:val="clear" w:color="auto" w:fill="0000FF"/>
          </w:tcPr>
          <w:p>
            <w:pPr>
              <w:spacing w:after="0" w:line="20" w:lineRule="exact"/>
              <w:rPr>
                <w:sz w:val="1"/>
                <w:szCs w:val="1"/>
                <w:color w:val="auto"/>
              </w:rPr>
            </w:pPr>
          </w:p>
        </w:tc>
        <w:tc>
          <w:tcPr>
            <w:tcW w:w="2820" w:type="dxa"/>
            <w:vAlign w:val="bottom"/>
            <w:tcBorders>
              <w:left w:val="single" w:sz="8" w:color="0000FF"/>
            </w:tcBorders>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1040" w:type="dxa"/>
            <w:vAlign w:val="bottom"/>
          </w:tcPr>
          <w:p>
            <w:pPr>
              <w:spacing w:after="0" w:line="20" w:lineRule="exact"/>
              <w:rPr>
                <w:sz w:val="1"/>
                <w:szCs w:val="1"/>
                <w:color w:val="auto"/>
              </w:rPr>
            </w:pPr>
          </w:p>
        </w:tc>
        <w:tc>
          <w:tcPr>
            <w:tcW w:w="7900" w:type="dxa"/>
            <w:vAlign w:val="bottom"/>
            <w:gridSpan w:val="4"/>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0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(furnished pursuant to Item 601(b)(32)(ii) of Regulation S-K).</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900" w:type="dxa"/>
            <w:vAlign w:val="bottom"/>
            <w:gridSpan w:val="4"/>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r>
      <w:tr>
        <w:trPr>
          <w:trHeight w:val="33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04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Schema Document, furnished herewith.</w:t>
            </w:r>
          </w:p>
        </w:tc>
      </w:tr>
    </w:tbl>
    <w:p>
      <w:pPr>
        <w:spacing w:after="0" w:line="103" w:lineRule="exact"/>
        <w:rPr>
          <w:sz w:val="20"/>
          <w:szCs w:val="20"/>
          <w:color w:val="auto"/>
        </w:rPr>
      </w:pPr>
    </w:p>
    <w:p>
      <w:pPr>
        <w:ind w:left="1040" w:hanging="10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0" w:lineRule="exact"/>
        <w:rPr>
          <w:rFonts w:ascii="Times New Roman" w:cs="Times New Roman" w:eastAsia="Times New Roman" w:hAnsi="Times New Roman"/>
          <w:sz w:val="18"/>
          <w:szCs w:val="18"/>
          <w:color w:val="auto"/>
        </w:rPr>
      </w:pPr>
    </w:p>
    <w:p>
      <w:pPr>
        <w:ind w:left="1040" w:hanging="214"/>
        <w:spacing w:after="0"/>
        <w:tabs>
          <w:tab w:leader="none" w:pos="1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0" w:lineRule="exact"/>
        <w:rPr>
          <w:rFonts w:ascii="Times New Roman" w:cs="Times New Roman" w:eastAsia="Times New Roman" w:hAnsi="Times New Roman"/>
          <w:sz w:val="18"/>
          <w:szCs w:val="18"/>
          <w:color w:val="auto"/>
        </w:rPr>
      </w:pPr>
    </w:p>
    <w:p>
      <w:pPr>
        <w:ind w:left="1040" w:hanging="304"/>
        <w:spacing w:after="0"/>
        <w:tabs>
          <w:tab w:leader="none" w:pos="10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9" w:name="page50"/>
    <w:bookmarkEnd w:id="49"/>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COMMSCOPE HOLDING COMPANY, INC.</w:t>
            </w:r>
          </w:p>
        </w:tc>
      </w:tr>
      <w:tr>
        <w:trPr>
          <w:trHeight w:val="51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August 7, 2024</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Kyle D. Lorentzen</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Kyle D. Lorentzen</w:t>
            </w:r>
          </w:p>
        </w:tc>
      </w:tr>
      <w:tr>
        <w:trPr>
          <w:trHeight w:val="238"/>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43"/>
        </w:trPr>
        <w:tc>
          <w:tcPr>
            <w:tcW w:w="618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758190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Segments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SUCCESS BONUS AGREEMENT</w:t>
      </w:r>
    </w:p>
    <w:p>
      <w:pPr>
        <w:spacing w:after="0" w:line="219"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This SUCCESS BONUS AGREEMENT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made and entered into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July 2024, by and between CommScope, LLC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Farid Firouzbakht (“</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For purposes of this Agreement, the Company and Employee are referred to collectively as the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intends to enter into a transaction to separate or divest its Outdoor Wireless Networks/Distributed Antenna Systems businesses (“</w:t>
      </w:r>
      <w:r>
        <w:rPr>
          <w:rFonts w:ascii="Times New Roman" w:cs="Times New Roman" w:eastAsia="Times New Roman" w:hAnsi="Times New Roman"/>
          <w:sz w:val="22"/>
          <w:szCs w:val="22"/>
          <w:i w:val="1"/>
          <w:iCs w:val="1"/>
          <w:color w:val="auto"/>
        </w:rPr>
        <w:t>OWN/DAS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i w:val="1"/>
          <w:iCs w:val="1"/>
          <w:color w:val="auto"/>
        </w:rPr>
        <w:t>Transaction</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order to recognize Employee’s valuable leadership and contributions to the success of the Company and OWN/DAS, and to encourage Employee’s continued commitment, dedication, and services leading up to and following the consummation of the Transaction, the Company wishes to provide an incentive to encourage Employee to remain actively employed by the Company through the consummation of the Transaction (the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Accordingly, in consideration of the mutual promises contained herein and other good and valuable consideration, the receipt and sufficiency of which is hereby acknowledged, the Parties agree as follows:</w:t>
      </w:r>
    </w:p>
    <w:p>
      <w:pPr>
        <w:spacing w:after="0" w:line="153" w:lineRule="exact"/>
        <w:rPr>
          <w:sz w:val="20"/>
          <w:szCs w:val="20"/>
          <w:color w:val="auto"/>
        </w:rPr>
      </w:pPr>
    </w:p>
    <w:p>
      <w:pPr>
        <w:jc w:val="both"/>
        <w:ind w:firstLine="757"/>
        <w:spacing w:after="0" w:line="246" w:lineRule="auto"/>
        <w:tabs>
          <w:tab w:leader="none" w:pos="120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This Agreement shall be effective as of the date first written above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and requires that the Closing of the Transaction occur on or before June 30, 2025 (the “</w:t>
      </w:r>
      <w:r>
        <w:rPr>
          <w:rFonts w:ascii="Times New Roman" w:cs="Times New Roman" w:eastAsia="Times New Roman" w:hAnsi="Times New Roman"/>
          <w:sz w:val="22"/>
          <w:szCs w:val="22"/>
          <w:i w:val="1"/>
          <w:iCs w:val="1"/>
          <w:color w:val="auto"/>
        </w:rPr>
        <w:t>End Date</w:t>
      </w:r>
      <w:r>
        <w:rPr>
          <w:rFonts w:ascii="Times New Roman" w:cs="Times New Roman" w:eastAsia="Times New Roman" w:hAnsi="Times New Roman"/>
          <w:sz w:val="22"/>
          <w:szCs w:val="22"/>
          <w:color w:val="auto"/>
        </w:rPr>
        <w:t>”). Should the Transaction not Close on or prior to the End Date, no Success Bonus shall be paid to Employee pursuant to this Agreement.</w:t>
      </w:r>
    </w:p>
    <w:p>
      <w:pPr>
        <w:spacing w:after="0" w:line="16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Award</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upon the Closing of the Transaction on or prior to the End Date, the Company will pay Employee a cash award equal to $961,620.00 less withholding for taxes and other similar items (the “</w:t>
      </w:r>
      <w:r>
        <w:rPr>
          <w:rFonts w:ascii="Times New Roman" w:cs="Times New Roman" w:eastAsia="Times New Roman" w:hAnsi="Times New Roman"/>
          <w:sz w:val="22"/>
          <w:szCs w:val="22"/>
          <w:i w:val="1"/>
          <w:iCs w:val="1"/>
          <w:color w:val="auto"/>
        </w:rPr>
        <w:t>Success Bonus</w:t>
      </w:r>
      <w:r>
        <w:rPr>
          <w:rFonts w:ascii="Times New Roman" w:cs="Times New Roman" w:eastAsia="Times New Roman" w:hAnsi="Times New Roman"/>
          <w:sz w:val="22"/>
          <w:szCs w:val="22"/>
          <w:color w:val="auto"/>
        </w:rPr>
        <w:t>”), provided that Employee remains employed by the Company through such Closing. The Success Bonus shall be payable to Employee within thirty (30) days following such Closing.</w:t>
      </w:r>
    </w:p>
    <w:p>
      <w:pPr>
        <w:spacing w:after="0" w:line="178"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Success Bonus is over and above any payments to which Employee may otherwise be eligible to receive.</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prior to the Closing, (i) Employee terminates his/her employment with the Company, whether by resignation, retirement or otherwise, or (ii) the Company terminates Employee’s employment for any reason, then Employee shall not be entitled to payment of the Success Bonus.</w:t>
      </w:r>
    </w:p>
    <w:p>
      <w:pPr>
        <w:spacing w:after="0" w:line="172" w:lineRule="exact"/>
        <w:rPr>
          <w:rFonts w:ascii="Times New Roman" w:cs="Times New Roman" w:eastAsia="Times New Roman" w:hAnsi="Times New Roman"/>
          <w:sz w:val="22"/>
          <w:szCs w:val="22"/>
          <w:color w:val="auto"/>
        </w:rPr>
      </w:pPr>
    </w:p>
    <w:p>
      <w:pPr>
        <w:ind w:right="20" w:firstLine="1566"/>
        <w:spacing w:after="0" w:line="258" w:lineRule="auto"/>
        <w:tabs>
          <w:tab w:leader="none" w:pos="192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this Agreement does not create any rights in Employee beyond the potential right to payment of the Success Bonus that may be earned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340"/>
        <w:spacing w:after="0"/>
        <w:tabs>
          <w:tab w:leader="none" w:pos="10460" w:val="left"/>
        </w:tabs>
        <w:rPr>
          <w:sz w:val="20"/>
          <w:szCs w:val="20"/>
          <w:color w:val="auto"/>
        </w:rPr>
      </w:pPr>
      <w:r>
        <w:rPr>
          <w:rFonts w:ascii="Times New Roman" w:cs="Times New Roman" w:eastAsia="Times New Roman" w:hAnsi="Times New Roman"/>
          <w:sz w:val="18"/>
          <w:szCs w:val="18"/>
          <w:color w:val="auto"/>
        </w:rPr>
        <w:t>Employee Initials:</w:t>
      </w:r>
      <w:r>
        <w:rPr>
          <w:sz w:val="20"/>
          <w:szCs w:val="20"/>
          <w:color w:val="auto"/>
        </w:rPr>
        <w:tab/>
      </w:r>
      <w:r>
        <w:rPr>
          <w:rFonts w:ascii="Times New Roman" w:cs="Times New Roman" w:eastAsia="Times New Roman" w:hAnsi="Times New Roman"/>
          <w:sz w:val="17"/>
          <w:szCs w:val="17"/>
          <w:color w:val="auto"/>
        </w:rPr>
        <w:t>/s/ 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26035</wp:posOffset>
            </wp:positionV>
            <wp:extent cx="7105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jc w:val="both"/>
        <w:spacing w:after="0" w:line="237" w:lineRule="auto"/>
        <w:rPr>
          <w:sz w:val="20"/>
          <w:szCs w:val="20"/>
          <w:color w:val="auto"/>
        </w:rPr>
      </w:pPr>
      <w:r>
        <w:rPr>
          <w:rFonts w:ascii="Times New Roman" w:cs="Times New Roman" w:eastAsia="Times New Roman" w:hAnsi="Times New Roman"/>
          <w:sz w:val="22"/>
          <w:szCs w:val="22"/>
          <w:color w:val="auto"/>
        </w:rPr>
        <w:t>hereunder. The potential Success Bonus should be viewed as an indication of the Company’s confidence in and appreciation of Employee’s abilities and contributions, and as an additional form of compensation to meet a special purpose. Any Success Bonus earned will be in addition to any other compensation or benefits that Employee may otherwise be eligible to receive from the Company and is not a permanent or recurring element of Employee’s compensation at the Company, nor will it impact any other element of compensation for which Employee may otherwise be eligible.</w:t>
      </w:r>
    </w:p>
    <w:p>
      <w:pPr>
        <w:spacing w:after="0" w:line="180" w:lineRule="exact"/>
        <w:rPr>
          <w:sz w:val="20"/>
          <w:szCs w:val="20"/>
          <w:color w:val="auto"/>
        </w:rPr>
      </w:pPr>
    </w:p>
    <w:p>
      <w:pPr>
        <w:jc w:val="both"/>
        <w:ind w:firstLine="1505"/>
        <w:spacing w:after="0" w:line="237" w:lineRule="auto"/>
        <w:tabs>
          <w:tab w:leader="none" w:pos="192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or in the Severance Protection Agreement, dated as of October 4, 2022, between the Company and Employee (the “</w:t>
      </w:r>
      <w:r>
        <w:rPr>
          <w:rFonts w:ascii="Times New Roman" w:cs="Times New Roman" w:eastAsia="Times New Roman" w:hAnsi="Times New Roman"/>
          <w:sz w:val="22"/>
          <w:szCs w:val="22"/>
          <w:i w:val="1"/>
          <w:iCs w:val="1"/>
          <w:color w:val="auto"/>
        </w:rPr>
        <w:t>SPA</w:t>
      </w:r>
      <w:r>
        <w:rPr>
          <w:rFonts w:ascii="Times New Roman" w:cs="Times New Roman" w:eastAsia="Times New Roman" w:hAnsi="Times New Roman"/>
          <w:sz w:val="22"/>
          <w:szCs w:val="22"/>
          <w:color w:val="auto"/>
        </w:rPr>
        <w:t>”), Employee acknowledges and agrees that if Employee becomes entitled to receive a Success Bonus under this Agreement, then he shall not be entitled to any compensation or benefits pursuant to the SPA in connection with the termination of his employment with the Company or its affiliates in connection with the Closing of the Transaction.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71" w:lineRule="auto"/>
        <w:tabs>
          <w:tab w:leader="none" w:pos="1018" w:val="left"/>
        </w:tabs>
        <w:numPr>
          <w:ilvl w:val="0"/>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Employee acknowledges that the terms of this Agreement are confidential. Accordingly, Employee agrees not to disclose or publish, verbally, in writing or otherwise, to any person or entity, except his/her spouse, his/her legal and tax advisors, or as required by law, any of the details leading up to the making of this Agreement, the terms and conditions or sums being paid in connection with this Agreement, or whether the terms of the Agreement are satisfactory in his/her opinion.</w:t>
      </w:r>
    </w:p>
    <w:p>
      <w:pPr>
        <w:spacing w:after="0" w:line="147" w:lineRule="exact"/>
        <w:rPr>
          <w:rFonts w:ascii="Times New Roman" w:cs="Times New Roman" w:eastAsia="Times New Roman" w:hAnsi="Times New Roman"/>
          <w:sz w:val="20"/>
          <w:szCs w:val="20"/>
          <w:u w:val="single" w:color="auto"/>
          <w:color w:val="auto"/>
        </w:rPr>
      </w:pPr>
    </w:p>
    <w:p>
      <w:pPr>
        <w:jc w:val="both"/>
        <w:ind w:firstLine="757"/>
        <w:spacing w:after="0" w:line="239" w:lineRule="auto"/>
        <w:tabs>
          <w:tab w:leader="none" w:pos="1018"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Employment Status</w:t>
      </w:r>
      <w:r>
        <w:rPr>
          <w:rFonts w:ascii="Times New Roman" w:cs="Times New Roman" w:eastAsia="Times New Roman" w:hAnsi="Times New Roman"/>
          <w:sz w:val="22"/>
          <w:szCs w:val="22"/>
          <w:color w:val="auto"/>
        </w:rPr>
        <w:t>. Nothing in this Agreement shall be construed as a commitment, guarantee, agreement, or understanding of any kind or nature that the Company will continue to employ Employee, nor will this Agreement affect in any way the right of the Company to terminate Employee’s employment at any time and for any reason (unless otherwise agreed to by the Parties separately in writing). Employee acknowledges and agrees that he/she is an “at will” employee.</w:t>
      </w:r>
    </w:p>
    <w:p>
      <w:pPr>
        <w:spacing w:after="0" w:line="178"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u w:val="single" w:color="auto"/>
          <w:color w:val="auto"/>
        </w:rPr>
      </w:pPr>
    </w:p>
    <w:p>
      <w:pPr>
        <w:jc w:val="both"/>
        <w:ind w:firstLine="1505"/>
        <w:spacing w:after="0" w:line="235" w:lineRule="auto"/>
        <w:tabs>
          <w:tab w:leader="none" w:pos="2037" w:val="left"/>
        </w:tabs>
        <w:numPr>
          <w:ilvl w:val="1"/>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of 1986, as amended (the “</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and applicable Internal Revenue Service guidance and Treasury Regulations issued thereunder. Nevertheless, the tax treatment of the payments and benefits provided under the Agreement is not warranted or guaranteed. Neither the Company, its affiliates, nor their directors, officers, employees or advisers shall be held liable for any taxes, interest, penalties or other monetary amounts owed by Employee as a result of the application of Section 409A of the Code.</w:t>
      </w:r>
    </w:p>
    <w:p>
      <w:pPr>
        <w:spacing w:after="0" w:line="180"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u w:val="single" w:color="auto"/>
          <w:color w:val="auto"/>
        </w:rPr>
      </w:pPr>
    </w:p>
    <w:p>
      <w:pPr>
        <w:jc w:val="both"/>
        <w:ind w:firstLine="1505"/>
        <w:spacing w:after="0" w:line="280" w:lineRule="auto"/>
        <w:tabs>
          <w:tab w:leader="none" w:pos="2037" w:val="left"/>
        </w:tabs>
        <w:numPr>
          <w:ilvl w:val="1"/>
          <w:numId w:val="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Applicable Law; Forum Selection; Consent to Jurisdiction</w:t>
      </w:r>
      <w:r>
        <w:rPr>
          <w:rFonts w:ascii="Times New Roman" w:cs="Times New Roman" w:eastAsia="Times New Roman" w:hAnsi="Times New Roman"/>
          <w:sz w:val="20"/>
          <w:szCs w:val="20"/>
          <w:color w:val="auto"/>
        </w:rPr>
        <w:t>. The Parties agree that this Agreement shall be governed by and construed and interpreted in accordance with the laws of the State of North Carolina without giving effect to its conflicts of law principles. Employee agrees that the exclusive forum for any action to enforce this Agreement, as well as 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w:t>
      </w:r>
    </w:p>
    <w:p>
      <w:pPr>
        <w:spacing w:after="0" w:line="19" w:lineRule="exact"/>
        <w:rPr>
          <w:sz w:val="20"/>
          <w:szCs w:val="20"/>
          <w:color w:val="auto"/>
        </w:rPr>
      </w:pPr>
    </w:p>
    <w:p>
      <w:pPr>
        <w:ind w:left="8580"/>
        <w:spacing w:after="0"/>
        <w:tabs>
          <w:tab w:leader="none" w:pos="10560" w:val="left"/>
        </w:tabs>
        <w:rPr>
          <w:sz w:val="20"/>
          <w:szCs w:val="20"/>
          <w:color w:val="auto"/>
        </w:rPr>
      </w:pPr>
      <w:r>
        <w:rPr>
          <w:rFonts w:ascii="Times New Roman" w:cs="Times New Roman" w:eastAsia="Times New Roman" w:hAnsi="Times New Roman"/>
          <w:sz w:val="18"/>
          <w:szCs w:val="18"/>
          <w:color w:val="auto"/>
        </w:rPr>
        <w:t>Employee Initials:</w:t>
      </w:r>
      <w:r>
        <w:rPr>
          <w:sz w:val="20"/>
          <w:szCs w:val="20"/>
          <w:color w:val="auto"/>
        </w:rPr>
        <w:tab/>
      </w:r>
      <w:r>
        <w:rPr>
          <w:rFonts w:ascii="Times New Roman" w:cs="Times New Roman" w:eastAsia="Times New Roman" w:hAnsi="Times New Roman"/>
          <w:sz w:val="18"/>
          <w:szCs w:val="18"/>
          <w:color w:val="auto"/>
        </w:rPr>
        <w:t>/s/ 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13335</wp:posOffset>
            </wp:positionV>
            <wp:extent cx="5651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 w:name="page53"/>
    <w:bookmarkEnd w:id="52"/>
    <w:p>
      <w:pPr>
        <w:jc w:val="both"/>
        <w:spacing w:after="0" w:line="236" w:lineRule="auto"/>
        <w:rPr>
          <w:sz w:val="20"/>
          <w:szCs w:val="20"/>
          <w:color w:val="auto"/>
        </w:rPr>
      </w:pPr>
      <w:r>
        <w:rPr>
          <w:rFonts w:ascii="Times New Roman" w:cs="Times New Roman" w:eastAsia="Times New Roman" w:hAnsi="Times New Roman"/>
          <w:sz w:val="22"/>
          <w:szCs w:val="22"/>
          <w:color w:val="auto"/>
        </w:rPr>
        <w:t>action relating to or arising out of this Agreement, shall be the state or federal courts of the State of North Carolina. With respect to any such court action, Employee hereby (a) irrevocably submits to the personal jurisdiction of such courts; (b) consents to service of process; (c) consents to venue; and (d) waives any other requirement (whether imposed by statute, rule of court, or otherwise) with respect to personal jurisdiction, service of process, or venue. Both Parties hereto further agree that the state and federal courts of the State of North Carolina are convenient forums for any dispute that may arise herefrom and that neither party shall raise as a defense that such courts are not convenient forums.</w:t>
      </w:r>
    </w:p>
    <w:p>
      <w:pPr>
        <w:spacing w:after="0" w:line="179" w:lineRule="exact"/>
        <w:rPr>
          <w:sz w:val="20"/>
          <w:szCs w:val="20"/>
          <w:color w:val="auto"/>
        </w:rPr>
      </w:pPr>
    </w:p>
    <w:p>
      <w:pPr>
        <w:ind w:firstLine="1505"/>
        <w:spacing w:after="0" w:line="258" w:lineRule="auto"/>
        <w:tabs>
          <w:tab w:leader="none" w:pos="2037"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w:t>
      </w:r>
    </w:p>
    <w:p>
      <w:pPr>
        <w:spacing w:after="0" w:line="157"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91"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Failure of either Party to insist, in one or more instances, on performance by the other in strict accordance with the terms and conditions of this Agreement shall not be deemed a waiver or relinquishment of any right granted in this Agreement or of the future performance of any such term or condition or of any other term or condition of this Agreement, unless such waiver is contained in a writing signed by the Party making the waiver.</w:t>
      </w:r>
    </w:p>
    <w:p>
      <w:pPr>
        <w:spacing w:after="0" w:line="178" w:lineRule="exact"/>
        <w:rPr>
          <w:rFonts w:ascii="Times New Roman" w:cs="Times New Roman" w:eastAsia="Times New Roman" w:hAnsi="Times New Roman"/>
          <w:sz w:val="22"/>
          <w:szCs w:val="22"/>
          <w:u w:val="single" w:color="auto"/>
          <w:color w:val="auto"/>
        </w:rPr>
      </w:pPr>
    </w:p>
    <w:p>
      <w:pPr>
        <w:jc w:val="both"/>
        <w:ind w:firstLine="1505"/>
        <w:spacing w:after="0" w:line="237" w:lineRule="auto"/>
        <w:tabs>
          <w:tab w:leader="none" w:pos="2037"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contains the entire agreement between the Company and Employee with respect to the subject matter hereof and, from and after the date hereof, this Agreement shall supersede any other agreement, written or oral, between the Parties relating to the subject matter of this Agreement. This Agreement may not be amended or modified otherwise than by a written agreement executed by the Parties hereto or their respective successors and legal representatives.</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44" w:lineRule="auto"/>
        <w:tabs>
          <w:tab w:leader="none" w:pos="2037"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rights and obligations of the Company may be assigned, and this Agreement shall be binding and inure to the benefit of the Company, its successors and assigns. No right, obligation or duty of this Agreement may be assigned by Employee without the prior written consent of the Company.</w:t>
      </w:r>
    </w:p>
    <w:p>
      <w:pPr>
        <w:spacing w:after="0" w:line="172" w:lineRule="exact"/>
        <w:rPr>
          <w:rFonts w:ascii="Times New Roman" w:cs="Times New Roman" w:eastAsia="Times New Roman" w:hAnsi="Times New Roman"/>
          <w:sz w:val="22"/>
          <w:szCs w:val="22"/>
          <w:u w:val="single" w:color="auto"/>
          <w:color w:val="auto"/>
        </w:rPr>
      </w:pPr>
    </w:p>
    <w:p>
      <w:pPr>
        <w:jc w:val="both"/>
        <w:ind w:firstLine="1505"/>
        <w:spacing w:after="0" w:line="237" w:lineRule="auto"/>
        <w:tabs>
          <w:tab w:leader="none" w:pos="2037"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Parties understand and agree that because they both have been given the opportunity to have counsel review and revise this Agreement, the normal rule of construction to the effect that any ambiguities are to be resolved against the drafting party shall not be employed in the interpretation of this Agreement. Instead, the language of all parts of this Agreement shall be construed as a whole, and according to its fair meaning, and not strictly for or against either of the Parties.</w:t>
      </w:r>
    </w:p>
    <w:p>
      <w:pPr>
        <w:spacing w:after="0" w:line="180"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7" w:val="left"/>
        </w:tabs>
        <w:numPr>
          <w:ilvl w:val="0"/>
          <w:numId w:val="2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(including by means of electronic signature, such as DocuSign), each of which shall be deemed an original, but all of which together shall constitute a single instrument. Execution of this Agreement may be made by providing a signed original copy or providing a signature via facsimile or other electronic means, such as portable document format (PDF).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w:t>
      </w:r>
    </w:p>
    <w:p>
      <w:pPr>
        <w:spacing w:after="0" w:line="19" w:lineRule="exact"/>
        <w:rPr>
          <w:sz w:val="20"/>
          <w:szCs w:val="20"/>
          <w:color w:val="auto"/>
        </w:rPr>
      </w:pPr>
    </w:p>
    <w:p>
      <w:pPr>
        <w:ind w:left="8580"/>
        <w:spacing w:after="0"/>
        <w:tabs>
          <w:tab w:leader="none" w:pos="10560" w:val="left"/>
        </w:tabs>
        <w:rPr>
          <w:sz w:val="20"/>
          <w:szCs w:val="20"/>
          <w:color w:val="auto"/>
        </w:rPr>
      </w:pPr>
      <w:r>
        <w:rPr>
          <w:rFonts w:ascii="Times New Roman" w:cs="Times New Roman" w:eastAsia="Times New Roman" w:hAnsi="Times New Roman"/>
          <w:sz w:val="18"/>
          <w:szCs w:val="18"/>
          <w:color w:val="auto"/>
        </w:rPr>
        <w:t>Employee Initials:</w:t>
      </w:r>
      <w:r>
        <w:rPr>
          <w:sz w:val="20"/>
          <w:szCs w:val="20"/>
          <w:color w:val="auto"/>
        </w:rPr>
        <w:tab/>
      </w:r>
      <w:r>
        <w:rPr>
          <w:rFonts w:ascii="Times New Roman" w:cs="Times New Roman" w:eastAsia="Times New Roman" w:hAnsi="Times New Roman"/>
          <w:sz w:val="18"/>
          <w:szCs w:val="18"/>
          <w:color w:val="auto"/>
        </w:rPr>
        <w:t>/s/ 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13335</wp:posOffset>
            </wp:positionV>
            <wp:extent cx="5651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IN WITNESS WHEREOF, the Parties hereto have duly executed and delivered this Retention Agreement.</w:t>
      </w:r>
    </w:p>
    <w:p>
      <w:pPr>
        <w:spacing w:after="0" w:line="200" w:lineRule="exact"/>
        <w:rPr>
          <w:sz w:val="20"/>
          <w:szCs w:val="20"/>
          <w:color w:val="auto"/>
        </w:rPr>
      </w:pPr>
    </w:p>
    <w:p>
      <w:pPr>
        <w:spacing w:after="0" w:line="24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/s/ Farid Firouzbakht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-13970</wp:posOffset>
            </wp:positionV>
            <wp:extent cx="21920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spacing w:after="0" w:line="212" w:lineRule="exact"/>
        <w:rPr>
          <w:sz w:val="20"/>
          <w:szCs w:val="20"/>
          <w:color w:val="auto"/>
        </w:rPr>
      </w:pP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8611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COMMSCOPE, LLC</w:t>
      </w:r>
    </w:p>
    <w:p>
      <w:pPr>
        <w:spacing w:after="0" w:line="2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Robyn Mingle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-13970</wp:posOffset>
            </wp:positionV>
            <wp:extent cx="19596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1959610" cy="8255"/>
                    </a:xfrm>
                    <a:prstGeom prst="rect">
                      <a:avLst/>
                    </a:prstGeom>
                    <a:noFill/>
                  </pic:spPr>
                </pic:pic>
              </a:graphicData>
            </a:graphic>
          </wp:anchor>
        </w:drawing>
      </w:r>
    </w:p>
    <w:p>
      <w:pPr>
        <w:spacing w:after="0" w:line="212" w:lineRule="exact"/>
        <w:rPr>
          <w:sz w:val="20"/>
          <w:szCs w:val="20"/>
          <w:color w:val="auto"/>
        </w:rPr>
      </w:pPr>
    </w:p>
    <w:p>
      <w:pPr>
        <w:ind w:left="3740"/>
        <w:spacing w:after="0"/>
        <w:tabs>
          <w:tab w:leader="none" w:pos="4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Robyn Mingle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-13970</wp:posOffset>
            </wp:positionV>
            <wp:extent cx="17926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212" w:lineRule="exact"/>
        <w:rPr>
          <w:sz w:val="20"/>
          <w:szCs w:val="20"/>
          <w:color w:val="auto"/>
        </w:rPr>
      </w:pP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SVP &amp; 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-13970</wp:posOffset>
            </wp:positionV>
            <wp:extent cx="21399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2139950" cy="8255"/>
                    </a:xfrm>
                    <a:prstGeom prst="rect">
                      <a:avLst/>
                    </a:prstGeom>
                    <a:noFill/>
                  </pic:spPr>
                </pic:pic>
              </a:graphicData>
            </a:graphic>
          </wp:anchor>
        </w:drawing>
      </w:r>
    </w:p>
    <w:p>
      <w:pPr>
        <w:spacing w:after="0" w:line="212" w:lineRule="exact"/>
        <w:rPr>
          <w:sz w:val="20"/>
          <w:szCs w:val="20"/>
          <w:color w:val="auto"/>
        </w:rPr>
      </w:pP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7/22/2024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8611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186118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-4-</w:t>
      </w:r>
    </w:p>
    <w:p>
      <w:pPr>
        <w:spacing w:after="0" w:line="19" w:lineRule="exact"/>
        <w:rPr>
          <w:sz w:val="20"/>
          <w:szCs w:val="20"/>
          <w:color w:val="auto"/>
        </w:rPr>
      </w:pPr>
    </w:p>
    <w:p>
      <w:pPr>
        <w:jc w:val="right"/>
        <w:spacing w:after="0"/>
        <w:tabs>
          <w:tab w:leader="none" w:pos="400" w:val="left"/>
        </w:tabs>
        <w:rPr>
          <w:sz w:val="20"/>
          <w:szCs w:val="20"/>
          <w:color w:val="auto"/>
        </w:rPr>
      </w:pPr>
      <w:r>
        <w:rPr>
          <w:rFonts w:ascii="Times New Roman" w:cs="Times New Roman" w:eastAsia="Times New Roman" w:hAnsi="Times New Roman"/>
          <w:sz w:val="18"/>
          <w:szCs w:val="18"/>
          <w:color w:val="auto"/>
        </w:rPr>
        <w:t>Employee Initials:</w:t>
      </w:r>
      <w:r>
        <w:rPr>
          <w:sz w:val="20"/>
          <w:szCs w:val="20"/>
          <w:color w:val="auto"/>
        </w:rPr>
        <w:tab/>
      </w:r>
      <w:r>
        <w:rPr>
          <w:rFonts w:ascii="Times New Roman" w:cs="Times New Roman" w:eastAsia="Times New Roman" w:hAnsi="Times New Roman"/>
          <w:sz w:val="18"/>
          <w:szCs w:val="18"/>
          <w:color w:val="auto"/>
        </w:rPr>
        <w:t>/s/ 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291465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6089650</wp:posOffset>
            </wp:positionH>
            <wp:positionV relativeFrom="paragraph">
              <wp:posOffset>13335</wp:posOffset>
            </wp:positionV>
            <wp:extent cx="56515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ectPr>
          <w:pgSz w:w="11900" w:h="16838" w:orient="portrait"/>
          <w:cols w:equalWidth="0" w:num="1">
            <w:col w:w="10240"/>
          </w:cols>
          <w:pgMar w:left="1080" w:top="1407" w:right="5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L. Treadway,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hanging="3"/>
        <w:spacing w:after="0" w:line="265" w:lineRule="auto"/>
        <w:tabs>
          <w:tab w:leader="none" w:pos="7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520" w:right="220" w:hanging="3"/>
        <w:spacing w:after="0" w:line="265" w:lineRule="auto"/>
        <w:tabs>
          <w:tab w:leader="none" w:pos="7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880" w:hanging="3"/>
        <w:spacing w:after="0" w:line="312" w:lineRule="auto"/>
        <w:tabs>
          <w:tab w:leader="none" w:pos="70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65" w:lineRule="auto"/>
        <w:tabs>
          <w:tab w:leader="none" w:pos="7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300" w:hanging="3"/>
        <w:spacing w:after="0" w:line="281" w:lineRule="auto"/>
        <w:tabs>
          <w:tab w:leader="none" w:pos="70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7, 2024</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Charles L. Treadway</w:t>
            </w:r>
          </w:p>
        </w:tc>
        <w:tc>
          <w:tcPr>
            <w:tcW w:w="6740" w:type="dxa"/>
            <w:vAlign w:val="bottom"/>
          </w:tcPr>
          <w:p>
            <w:pPr>
              <w:spacing w:after="0"/>
              <w:rPr>
                <w:sz w:val="21"/>
                <w:szCs w:val="21"/>
                <w:color w:val="auto"/>
              </w:rPr>
            </w:pPr>
          </w:p>
        </w:tc>
      </w:tr>
      <w:tr>
        <w:trPr>
          <w:trHeight w:val="21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7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740" w:type="dxa"/>
            <w:vAlign w:val="bottom"/>
          </w:tcPr>
          <w:p>
            <w:pPr>
              <w:spacing w:after="0"/>
              <w:rPr>
                <w:sz w:val="20"/>
                <w:szCs w:val="20"/>
                <w:color w:val="auto"/>
              </w:rPr>
            </w:pPr>
          </w:p>
        </w:tc>
      </w:tr>
      <w:tr>
        <w:trPr>
          <w:trHeight w:val="1207"/>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D. Lorentzen,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CommScope Holding Company, Inc.;</w:t>
      </w:r>
    </w:p>
    <w:p>
      <w:pPr>
        <w:spacing w:after="0" w:line="224" w:lineRule="exact"/>
        <w:rPr>
          <w:rFonts w:ascii="Times New Roman" w:cs="Times New Roman" w:eastAsia="Times New Roman" w:hAnsi="Times New Roman"/>
          <w:sz w:val="18"/>
          <w:szCs w:val="18"/>
          <w:color w:val="auto"/>
        </w:rPr>
      </w:pPr>
    </w:p>
    <w:p>
      <w:pPr>
        <w:ind w:right="280" w:firstLine="8"/>
        <w:spacing w:after="0" w:line="312" w:lineRule="auto"/>
        <w:tabs>
          <w:tab w:leader="none" w:pos="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560" w:firstLine="8"/>
        <w:spacing w:after="0" w:line="281"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40" w:firstLine="8"/>
        <w:spacing w:after="0" w:line="265"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520" w:hanging="3"/>
        <w:spacing w:after="0" w:line="265" w:lineRule="auto"/>
        <w:tabs>
          <w:tab w:leader="none" w:pos="7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520" w:right="220" w:hanging="3"/>
        <w:spacing w:after="0" w:line="265"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520" w:right="880" w:hanging="3"/>
        <w:spacing w:after="0" w:line="312" w:lineRule="auto"/>
        <w:tabs>
          <w:tab w:leader="none" w:pos="705"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520" w:right="240" w:hanging="3"/>
        <w:spacing w:after="0" w:line="265"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480" w:firstLine="8"/>
        <w:spacing w:after="0" w:line="281"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520" w:right="300" w:hanging="3"/>
        <w:spacing w:after="0" w:line="281" w:lineRule="auto"/>
        <w:tabs>
          <w:tab w:leader="none" w:pos="70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520" w:right="240" w:hanging="3"/>
        <w:spacing w:after="0" w:line="281" w:lineRule="auto"/>
        <w:tabs>
          <w:tab w:leader="none" w:pos="7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August 7, 2024</w:t>
      </w: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Kyle D. Lorentzen</w:t>
            </w:r>
          </w:p>
        </w:tc>
        <w:tc>
          <w:tcPr>
            <w:tcW w:w="6740" w:type="dxa"/>
            <w:vAlign w:val="bottom"/>
          </w:tcPr>
          <w:p>
            <w:pPr>
              <w:spacing w:after="0"/>
              <w:rPr>
                <w:sz w:val="21"/>
                <w:szCs w:val="21"/>
                <w:color w:val="auto"/>
              </w:rPr>
            </w:pPr>
          </w:p>
        </w:tc>
      </w:tr>
      <w:tr>
        <w:trPr>
          <w:trHeight w:val="21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674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6740" w:type="dxa"/>
            <w:vAlign w:val="bottom"/>
          </w:tcPr>
          <w:p>
            <w:pPr>
              <w:spacing w:after="0"/>
              <w:rPr>
                <w:sz w:val="20"/>
                <w:szCs w:val="20"/>
                <w:color w:val="auto"/>
              </w:rPr>
            </w:pPr>
          </w:p>
        </w:tc>
      </w:tr>
      <w:tr>
        <w:trPr>
          <w:trHeight w:val="1207"/>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CommScope Holding Company, Inc. (the “Company”) on Form 10-Q for the quarter ended June 30, 2024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Securities and Exchange Commission on the date hereof (the “Report”), we, Charles L. Treadway, President,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Company, and Kyle D. Lorentzen, Executive Vice President and Chief Financial Officer of the Company, certify, pursuant to 18 U.S.C.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206"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20" w:right="620" w:hanging="12"/>
        <w:spacing w:after="0" w:line="531" w:lineRule="auto"/>
        <w:tabs>
          <w:tab w:leader="none" w:pos="1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7,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23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Charles L. Treadway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23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Kyle D. Lorentzen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04"/>
    </w:lvl>
    <w:lvl w:ilvl="1">
      <w:lvlJc w:val="left"/>
      <w:lvlText w:val="**"/>
      <w:numFmt w:val="bullet"/>
      <w:start w:val="1"/>
    </w:lvl>
  </w:abstractNum>
  <w:abstractNum w:abstractNumId="15">
    <w:nsid w:val="257130A3"/>
    <w:multiLevelType w:val="hybridMultilevel"/>
    <w:lvl w:ilvl="0">
      <w:lvlJc w:val="left"/>
      <w:lvlText w:val="%1"/>
      <w:numFmt w:val="decimal"/>
      <w:start w:val="1"/>
    </w:lvl>
    <w:lvl w:ilvl="1">
      <w:lvlJc w:val="left"/>
      <w:lvlText w:val="***"/>
      <w:numFmt w:val="bullet"/>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7">
    <w:nsid w:val="436C6125"/>
    <w:multiLevelType w:val="hybridMultilevel"/>
    <w:lvl w:ilvl="0">
      <w:lvlJc w:val="left"/>
      <w:lvlText w:val="%1"/>
      <w:numFmt w:val="decimal"/>
      <w:start w:val="1"/>
    </w:lvl>
    <w:lvl w:ilvl="1">
      <w:lvlJc w:val="left"/>
      <w:lvlText w:val="(%2)"/>
      <w:numFmt w:val="lowerLetter"/>
      <w:start w:val="3"/>
    </w:lvl>
  </w:abstractNum>
  <w:abstractNum w:abstractNumId="18">
    <w:nsid w:val="628C895D"/>
    <w:multiLevelType w:val="hybridMultilevel"/>
    <w:lvl w:ilvl="0">
      <w:lvlJc w:val="left"/>
      <w:lvlText w:val="%1."/>
      <w:numFmt w:val="decimal"/>
      <w:start w:val="4"/>
    </w:lvl>
    <w:lvl w:ilvl="1">
      <w:lvlJc w:val="left"/>
      <w:lvlText w:val="(%2)"/>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07" Type="http://schemas.openxmlformats.org/officeDocument/2006/relationships/hyperlink" Target="https://www.sec.gov/Archives/edgar/data/1517228/000119312524182883/d833436dex21.htm" TargetMode="External"/><Relationship Id="rId408" Type="http://schemas.openxmlformats.org/officeDocument/2006/relationships/hyperlink" Target="https://www.sec.gov/Archives/edgar/data/1517228/000095017024062960/com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2024-08-08T06:06:42Z</dcterms:created>
  <dcterms:modified xsi:type="dcterms:W3CDTF">2024-08-08T06:06:42Z</dcterms:modified>
</cp:coreProperties>
</file>