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Lorentzen Kyle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VISTANCE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2601 TELECOM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RICHARDSON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Vistance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VISN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1"/>
        <w:gridCol w:w="898"/>
        <w:gridCol w:w="771"/>
        <w:gridCol w:w="597"/>
        <w:gridCol w:w="337"/>
        <w:gridCol w:w="1039"/>
        <w:gridCol w:w="424"/>
        <w:gridCol w:w="587"/>
        <w:gridCol w:w="1607"/>
        <w:gridCol w:w="959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6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6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2,214,307.465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restricted stock units that will vest ratably on 06/01/2027, 06/01/2028 and 06/01/2029, subject to the reporting person's continued employment with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previously reported, includes (a) 62,700 restricted stock units that were granted on 03/01/2024 and will vest on 06/01/2027; (b) 197,300 restricted stock units that were granted on 06/01/2024 and will vest on 06/01/2027; and (c) 204,734 restricted stock units that were granted on 03/01/2025 and will vest ratably on 06/01/2027 and 06/01/2028; each subject to the reporting person's continued employment with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D. Coppin, Under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1085" TargetMode="External"/><Relationship Id="rId5" Type="http://schemas.openxmlformats.org/officeDocument/2006/relationships/hyperlink" Target="http://www.sec.gov/cgi-bin/browse-edgar?action=getcompany&amp;CIK=00015172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3598</Characters>
  <CharactersWithSpaces>4195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